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BE32F8" w14:textId="4273A721" w:rsidR="00FF4187" w:rsidRPr="00E46B66" w:rsidRDefault="00FF4187" w:rsidP="00FF4187">
      <w:pPr>
        <w:ind w:left="-103" w:right="-1" w:hanging="567"/>
        <w:jc w:val="center"/>
        <w:rPr>
          <w:szCs w:val="24"/>
        </w:rPr>
      </w:pPr>
      <w:bookmarkStart w:id="0" w:name="_GoBack"/>
      <w:bookmarkEnd w:id="0"/>
      <w:r w:rsidRPr="00741941">
        <w:rPr>
          <w:noProof/>
        </w:rPr>
        <w:drawing>
          <wp:inline distT="0" distB="0" distL="0" distR="0" wp14:anchorId="192BC8AC" wp14:editId="1BB74737">
            <wp:extent cx="3344545" cy="1732280"/>
            <wp:effectExtent l="0" t="0" r="8255" b="1270"/>
            <wp:docPr id="1398493350" name="Immagine 1" descr="Immagine che contiene testo, calligrafia, lettera,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4064432" descr="Immagine che contiene testo, calligrafia, lettera, Carattere&#10;&#10;Descrizione generata automaticamen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44545" cy="1732280"/>
                    </a:xfrm>
                    <a:prstGeom prst="rect">
                      <a:avLst/>
                    </a:prstGeom>
                    <a:noFill/>
                    <a:ln>
                      <a:noFill/>
                    </a:ln>
                  </pic:spPr>
                </pic:pic>
              </a:graphicData>
            </a:graphic>
          </wp:inline>
        </w:drawing>
      </w:r>
      <w:r w:rsidRPr="00207B5E">
        <w:rPr>
          <w:i/>
          <w:color w:val="0070C0"/>
          <w:u w:val="single"/>
        </w:rPr>
        <w:br w:type="textWrapping" w:clear="all"/>
      </w:r>
      <w:bookmarkStart w:id="1" w:name="_Hlk120534849"/>
      <w:bookmarkStart w:id="2" w:name="_Hlk120534850"/>
      <w:r w:rsidRPr="00E46B66">
        <w:rPr>
          <w:szCs w:val="24"/>
        </w:rPr>
        <w:t>DIPARTIMENTO ENERGIA</w:t>
      </w:r>
    </w:p>
    <w:p w14:paraId="7EB62EAE" w14:textId="13562338" w:rsidR="00FF4187" w:rsidRPr="00E46B66" w:rsidRDefault="00E50821" w:rsidP="00FF4187">
      <w:pPr>
        <w:ind w:left="-103" w:hanging="567"/>
        <w:jc w:val="center"/>
        <w:rPr>
          <w:szCs w:val="24"/>
        </w:rPr>
      </w:pPr>
      <w:r>
        <w:rPr>
          <w:szCs w:val="24"/>
        </w:rPr>
        <w:t xml:space="preserve">Ex- </w:t>
      </w:r>
      <w:r w:rsidR="00FF4187" w:rsidRPr="00E46B66">
        <w:rPr>
          <w:szCs w:val="24"/>
        </w:rPr>
        <w:t xml:space="preserve">DIREZIONE GENERALE </w:t>
      </w:r>
      <w:r w:rsidR="00FF4187">
        <w:rPr>
          <w:szCs w:val="24"/>
        </w:rPr>
        <w:t>INCENTIVI ENERGIA</w:t>
      </w:r>
    </w:p>
    <w:bookmarkEnd w:id="1"/>
    <w:bookmarkEnd w:id="2"/>
    <w:p w14:paraId="2E29BA34" w14:textId="77777777" w:rsidR="00FF4187" w:rsidRPr="00B94645" w:rsidRDefault="00FF4187" w:rsidP="00FF4187">
      <w:pPr>
        <w:pStyle w:val="Intestazione"/>
      </w:pPr>
    </w:p>
    <w:p w14:paraId="2A383970" w14:textId="77777777" w:rsidR="00FF4187" w:rsidRPr="00FF4187" w:rsidRDefault="00FF4187" w:rsidP="00FF4187">
      <w:pPr>
        <w:spacing w:before="480" w:after="480" w:line="240" w:lineRule="auto"/>
        <w:jc w:val="center"/>
        <w:rPr>
          <w:b/>
          <w:sz w:val="28"/>
          <w:szCs w:val="28"/>
        </w:rPr>
      </w:pPr>
      <w:bookmarkStart w:id="3" w:name="_Hlk152599900"/>
      <w:r w:rsidRPr="00FF4187">
        <w:rPr>
          <w:b/>
          <w:sz w:val="28"/>
          <w:szCs w:val="28"/>
        </w:rPr>
        <w:t>Consultazione sul Decreto del Ministro dell’ambiente e della sicurezza energetica: regolamentazione degli incentivi tariffari alla produzione di combustibili gassosi da fonti rinnovabili di cui all’ articolo 11, comma 2 del decreto legislativo 8 novembre 2021, n.199.</w:t>
      </w:r>
    </w:p>
    <w:p w14:paraId="4A004FCF" w14:textId="77777777" w:rsidR="00FF4187" w:rsidRPr="00FF4187" w:rsidRDefault="00FF4187" w:rsidP="00FF4187">
      <w:pPr>
        <w:spacing w:before="480" w:after="480" w:line="240" w:lineRule="auto"/>
        <w:jc w:val="center"/>
        <w:rPr>
          <w:b/>
          <w:sz w:val="28"/>
          <w:szCs w:val="28"/>
        </w:rPr>
      </w:pPr>
      <w:r w:rsidRPr="00FF4187">
        <w:rPr>
          <w:b/>
          <w:sz w:val="28"/>
          <w:szCs w:val="28"/>
        </w:rPr>
        <w:t>MODULO DI ADESIONE CONSULTAZIONE</w:t>
      </w:r>
    </w:p>
    <w:tbl>
      <w:tblPr>
        <w:tblStyle w:val="Grigliatabella"/>
        <w:tblW w:w="0" w:type="auto"/>
        <w:tblLook w:val="04A0" w:firstRow="1" w:lastRow="0" w:firstColumn="1" w:lastColumn="0" w:noHBand="0" w:noVBand="1"/>
      </w:tblPr>
      <w:tblGrid>
        <w:gridCol w:w="9628"/>
      </w:tblGrid>
      <w:tr w:rsidR="00FF4187" w:rsidRPr="00644F39" w14:paraId="431C5622" w14:textId="77777777" w:rsidTr="00DB6190">
        <w:tc>
          <w:tcPr>
            <w:tcW w:w="9778" w:type="dxa"/>
            <w:shd w:val="clear" w:color="auto" w:fill="F2F2F2" w:themeFill="background1" w:themeFillShade="F2"/>
          </w:tcPr>
          <w:p w14:paraId="0902950A" w14:textId="77777777" w:rsidR="00FF4187" w:rsidRPr="00644F39" w:rsidRDefault="00FF4187" w:rsidP="00FF4187">
            <w:pPr>
              <w:numPr>
                <w:ilvl w:val="0"/>
                <w:numId w:val="3"/>
              </w:numPr>
              <w:spacing w:line="288" w:lineRule="auto"/>
              <w:ind w:left="714" w:hanging="357"/>
              <w:rPr>
                <w:b/>
                <w:sz w:val="28"/>
                <w:szCs w:val="28"/>
              </w:rPr>
            </w:pPr>
            <w:r w:rsidRPr="00644F39">
              <w:rPr>
                <w:rFonts w:cs="Calibri"/>
                <w:b/>
                <w:spacing w:val="-1"/>
                <w:sz w:val="24"/>
              </w:rPr>
              <w:t>Nome</w:t>
            </w:r>
            <w:r w:rsidRPr="00644F39">
              <w:rPr>
                <w:rFonts w:cs="Calibri"/>
                <w:b/>
                <w:spacing w:val="1"/>
                <w:sz w:val="24"/>
              </w:rPr>
              <w:t xml:space="preserve"> </w:t>
            </w:r>
            <w:r w:rsidRPr="00644F39">
              <w:rPr>
                <w:rFonts w:cs="Calibri"/>
                <w:b/>
                <w:sz w:val="24"/>
              </w:rPr>
              <w:t xml:space="preserve">del soggetto </w:t>
            </w:r>
            <w:r w:rsidRPr="00644F39">
              <w:rPr>
                <w:rFonts w:cs="Calibri"/>
                <w:b/>
                <w:spacing w:val="1"/>
                <w:sz w:val="24"/>
              </w:rPr>
              <w:t>che</w:t>
            </w:r>
            <w:r w:rsidRPr="00644F39">
              <w:rPr>
                <w:rFonts w:cs="Calibri"/>
                <w:b/>
                <w:spacing w:val="-1"/>
                <w:sz w:val="24"/>
              </w:rPr>
              <w:t xml:space="preserve"> </w:t>
            </w:r>
            <w:r w:rsidRPr="00644F39">
              <w:rPr>
                <w:rFonts w:cs="Calibri"/>
                <w:b/>
                <w:sz w:val="24"/>
              </w:rPr>
              <w:t>intende aderire alla consultazione tecnica</w:t>
            </w:r>
          </w:p>
        </w:tc>
      </w:tr>
      <w:tr w:rsidR="00FF4187" w14:paraId="5F7C6DE8" w14:textId="77777777" w:rsidTr="00DB6190">
        <w:trPr>
          <w:trHeight w:val="1256"/>
        </w:trPr>
        <w:tc>
          <w:tcPr>
            <w:tcW w:w="9778" w:type="dxa"/>
          </w:tcPr>
          <w:p w14:paraId="3121245A" w14:textId="77777777" w:rsidR="00FF4187" w:rsidRDefault="00FF4187" w:rsidP="00DB6190">
            <w:pPr>
              <w:spacing w:line="288" w:lineRule="auto"/>
              <w:ind w:left="714"/>
              <w:rPr>
                <w:rFonts w:cs="Calibri"/>
                <w:b/>
                <w:color w:val="595959"/>
                <w:spacing w:val="-1"/>
                <w:sz w:val="24"/>
              </w:rPr>
            </w:pPr>
          </w:p>
        </w:tc>
      </w:tr>
      <w:tr w:rsidR="00FF4187" w:rsidRPr="00644F39" w14:paraId="34C2F485" w14:textId="77777777" w:rsidTr="00DB6190">
        <w:trPr>
          <w:trHeight w:val="565"/>
        </w:trPr>
        <w:tc>
          <w:tcPr>
            <w:tcW w:w="9778" w:type="dxa"/>
            <w:shd w:val="clear" w:color="auto" w:fill="F2F2F2" w:themeFill="background1" w:themeFillShade="F2"/>
          </w:tcPr>
          <w:p w14:paraId="4391359F" w14:textId="77777777" w:rsidR="00FF4187" w:rsidRPr="00644F39" w:rsidRDefault="00FF4187" w:rsidP="00FF4187">
            <w:pPr>
              <w:numPr>
                <w:ilvl w:val="0"/>
                <w:numId w:val="3"/>
              </w:numPr>
              <w:spacing w:line="288" w:lineRule="auto"/>
              <w:ind w:left="714" w:hanging="357"/>
              <w:rPr>
                <w:rFonts w:cs="Calibri"/>
                <w:b/>
                <w:spacing w:val="-1"/>
                <w:sz w:val="24"/>
              </w:rPr>
            </w:pPr>
            <w:r w:rsidRPr="00644F39">
              <w:rPr>
                <w:rFonts w:cs="Calibri"/>
                <w:b/>
                <w:spacing w:val="-1"/>
                <w:sz w:val="24"/>
              </w:rPr>
              <w:t>Nome della persona di riferimento (se diversa dal soggetto) per la partecipazione alla Consultazione</w:t>
            </w:r>
          </w:p>
        </w:tc>
      </w:tr>
      <w:tr w:rsidR="00FF4187" w14:paraId="3BAA4327" w14:textId="77777777" w:rsidTr="00DB6190">
        <w:trPr>
          <w:trHeight w:val="1256"/>
        </w:trPr>
        <w:tc>
          <w:tcPr>
            <w:tcW w:w="9778" w:type="dxa"/>
          </w:tcPr>
          <w:p w14:paraId="362B7167" w14:textId="77777777" w:rsidR="00FF4187" w:rsidRDefault="00FF4187" w:rsidP="00DB6190">
            <w:pPr>
              <w:spacing w:line="288" w:lineRule="auto"/>
              <w:ind w:left="714"/>
              <w:rPr>
                <w:rFonts w:cs="Calibri"/>
                <w:b/>
                <w:color w:val="595959"/>
                <w:spacing w:val="-1"/>
                <w:sz w:val="24"/>
              </w:rPr>
            </w:pPr>
          </w:p>
        </w:tc>
      </w:tr>
      <w:tr w:rsidR="00FF4187" w:rsidRPr="00644F39" w14:paraId="3D5B8693" w14:textId="77777777" w:rsidTr="00DB6190">
        <w:trPr>
          <w:trHeight w:val="407"/>
        </w:trPr>
        <w:tc>
          <w:tcPr>
            <w:tcW w:w="9778" w:type="dxa"/>
            <w:shd w:val="clear" w:color="auto" w:fill="F2F2F2" w:themeFill="background1" w:themeFillShade="F2"/>
          </w:tcPr>
          <w:p w14:paraId="0DDEF4A1" w14:textId="77777777" w:rsidR="00FF4187" w:rsidRPr="00644F39" w:rsidRDefault="00FF4187" w:rsidP="00FF4187">
            <w:pPr>
              <w:numPr>
                <w:ilvl w:val="0"/>
                <w:numId w:val="3"/>
              </w:numPr>
              <w:spacing w:line="288" w:lineRule="auto"/>
              <w:ind w:left="714" w:hanging="357"/>
              <w:rPr>
                <w:rFonts w:cs="Calibri"/>
                <w:b/>
                <w:spacing w:val="-1"/>
                <w:sz w:val="24"/>
              </w:rPr>
            </w:pPr>
            <w:r w:rsidRPr="00644F39">
              <w:rPr>
                <w:rFonts w:cs="Calibri"/>
                <w:b/>
                <w:spacing w:val="-1"/>
                <w:sz w:val="24"/>
              </w:rPr>
              <w:t>Recapito email del soggetto per le comunicazioni</w:t>
            </w:r>
          </w:p>
        </w:tc>
      </w:tr>
      <w:tr w:rsidR="00FF4187" w14:paraId="5E22C17C" w14:textId="77777777" w:rsidTr="00DB6190">
        <w:trPr>
          <w:trHeight w:val="1256"/>
        </w:trPr>
        <w:tc>
          <w:tcPr>
            <w:tcW w:w="9778" w:type="dxa"/>
          </w:tcPr>
          <w:p w14:paraId="7B46972E" w14:textId="77777777" w:rsidR="00FF4187" w:rsidRDefault="00FF4187" w:rsidP="00DB6190">
            <w:pPr>
              <w:spacing w:line="288" w:lineRule="auto"/>
              <w:ind w:left="720"/>
              <w:rPr>
                <w:rFonts w:cs="Calibri"/>
                <w:b/>
                <w:color w:val="595959"/>
                <w:sz w:val="24"/>
              </w:rPr>
            </w:pPr>
          </w:p>
        </w:tc>
      </w:tr>
      <w:tr w:rsidR="00FF4187" w14:paraId="3429AD4E" w14:textId="77777777" w:rsidTr="00DB6190">
        <w:trPr>
          <w:trHeight w:val="418"/>
        </w:trPr>
        <w:tc>
          <w:tcPr>
            <w:tcW w:w="9778" w:type="dxa"/>
            <w:shd w:val="clear" w:color="auto" w:fill="F2F2F2" w:themeFill="background1" w:themeFillShade="F2"/>
          </w:tcPr>
          <w:p w14:paraId="7665A2F6" w14:textId="77777777" w:rsidR="00FF4187" w:rsidRPr="00644F39" w:rsidRDefault="00FF4187" w:rsidP="00FF4187">
            <w:pPr>
              <w:numPr>
                <w:ilvl w:val="0"/>
                <w:numId w:val="3"/>
              </w:numPr>
              <w:spacing w:line="288" w:lineRule="auto"/>
              <w:rPr>
                <w:rFonts w:cs="Calibri"/>
                <w:b/>
                <w:sz w:val="24"/>
              </w:rPr>
            </w:pPr>
            <w:r w:rsidRPr="00644F39">
              <w:rPr>
                <w:rFonts w:cs="Calibri"/>
                <w:b/>
                <w:sz w:val="24"/>
              </w:rPr>
              <w:t>Categoria del soggetto che intende aderire alla consultazione pubblica</w:t>
            </w:r>
          </w:p>
        </w:tc>
      </w:tr>
      <w:tr w:rsidR="00FF4187" w14:paraId="7B5A8687" w14:textId="77777777" w:rsidTr="00DB6190">
        <w:trPr>
          <w:trHeight w:val="1256"/>
        </w:trPr>
        <w:tc>
          <w:tcPr>
            <w:tcW w:w="9778" w:type="dxa"/>
          </w:tcPr>
          <w:p w14:paraId="3DEA5F94" w14:textId="77777777" w:rsidR="00FF4187" w:rsidRPr="00644F39" w:rsidRDefault="00FF4187" w:rsidP="00FF4187">
            <w:pPr>
              <w:pStyle w:val="Paragrafoelenco"/>
              <w:widowControl w:val="0"/>
              <w:numPr>
                <w:ilvl w:val="0"/>
                <w:numId w:val="1"/>
              </w:numPr>
              <w:autoSpaceDE w:val="0"/>
              <w:spacing w:line="288" w:lineRule="auto"/>
              <w:ind w:left="1068"/>
              <w:jc w:val="both"/>
              <w:rPr>
                <w:rFonts w:cs="Calibri"/>
                <w:sz w:val="24"/>
              </w:rPr>
            </w:pPr>
            <w:r w:rsidRPr="00644F39">
              <w:rPr>
                <w:rFonts w:cs="Calibri"/>
                <w:sz w:val="24"/>
              </w:rPr>
              <w:t>PMI operante nel settore energetico</w:t>
            </w:r>
          </w:p>
          <w:p w14:paraId="63618D3A" w14:textId="77777777" w:rsidR="00FF4187" w:rsidRPr="00644F39" w:rsidRDefault="00FF4187" w:rsidP="00FF4187">
            <w:pPr>
              <w:pStyle w:val="Paragrafoelenco"/>
              <w:widowControl w:val="0"/>
              <w:numPr>
                <w:ilvl w:val="0"/>
                <w:numId w:val="1"/>
              </w:numPr>
              <w:autoSpaceDE w:val="0"/>
              <w:spacing w:line="288" w:lineRule="auto"/>
              <w:ind w:left="1068"/>
              <w:jc w:val="both"/>
              <w:rPr>
                <w:rFonts w:cs="Calibri"/>
                <w:sz w:val="24"/>
              </w:rPr>
            </w:pPr>
            <w:r w:rsidRPr="00644F39">
              <w:rPr>
                <w:rFonts w:cs="Calibri"/>
                <w:sz w:val="24"/>
              </w:rPr>
              <w:t>grande impresa operante nel settore energetico</w:t>
            </w:r>
          </w:p>
          <w:p w14:paraId="3073C975" w14:textId="77777777" w:rsidR="00FF4187" w:rsidRPr="00644F39" w:rsidRDefault="00FF4187" w:rsidP="00FF4187">
            <w:pPr>
              <w:pStyle w:val="Paragrafoelenco"/>
              <w:widowControl w:val="0"/>
              <w:numPr>
                <w:ilvl w:val="0"/>
                <w:numId w:val="1"/>
              </w:numPr>
              <w:autoSpaceDE w:val="0"/>
              <w:spacing w:line="288" w:lineRule="auto"/>
              <w:ind w:left="1068"/>
              <w:jc w:val="both"/>
              <w:rPr>
                <w:rFonts w:cs="Calibri"/>
                <w:sz w:val="24"/>
              </w:rPr>
            </w:pPr>
            <w:r w:rsidRPr="00644F39">
              <w:rPr>
                <w:rFonts w:cs="Calibri"/>
                <w:sz w:val="24"/>
              </w:rPr>
              <w:t>altre imprese (singole o associate)</w:t>
            </w:r>
          </w:p>
          <w:p w14:paraId="650449BF" w14:textId="77777777" w:rsidR="00FF4187" w:rsidRPr="00644F39" w:rsidRDefault="00FF4187" w:rsidP="00FF4187">
            <w:pPr>
              <w:pStyle w:val="Paragrafoelenco"/>
              <w:widowControl w:val="0"/>
              <w:numPr>
                <w:ilvl w:val="0"/>
                <w:numId w:val="1"/>
              </w:numPr>
              <w:autoSpaceDE w:val="0"/>
              <w:spacing w:line="288" w:lineRule="auto"/>
              <w:ind w:left="1068"/>
              <w:jc w:val="both"/>
              <w:rPr>
                <w:rFonts w:cs="Calibri"/>
                <w:sz w:val="24"/>
              </w:rPr>
            </w:pPr>
            <w:r w:rsidRPr="00644F39">
              <w:rPr>
                <w:rFonts w:cs="Calibri"/>
                <w:sz w:val="24"/>
              </w:rPr>
              <w:lastRenderedPageBreak/>
              <w:t>associazione di categoria</w:t>
            </w:r>
          </w:p>
          <w:p w14:paraId="708DFFB9" w14:textId="77777777" w:rsidR="00FF4187" w:rsidRPr="00644F39" w:rsidRDefault="00FF4187" w:rsidP="00FF4187">
            <w:pPr>
              <w:pStyle w:val="Paragrafoelenco"/>
              <w:widowControl w:val="0"/>
              <w:numPr>
                <w:ilvl w:val="0"/>
                <w:numId w:val="1"/>
              </w:numPr>
              <w:autoSpaceDE w:val="0"/>
              <w:spacing w:line="288" w:lineRule="auto"/>
              <w:ind w:left="1068"/>
              <w:jc w:val="both"/>
            </w:pPr>
            <w:r w:rsidRPr="00644F39">
              <w:rPr>
                <w:rFonts w:cs="Calibri"/>
                <w:sz w:val="24"/>
              </w:rPr>
              <w:t>pubblica</w:t>
            </w:r>
            <w:r w:rsidRPr="00644F39">
              <w:rPr>
                <w:rFonts w:cs="Calibri"/>
                <w:spacing w:val="1"/>
                <w:sz w:val="24"/>
              </w:rPr>
              <w:t xml:space="preserve"> </w:t>
            </w:r>
            <w:r w:rsidRPr="00644F39">
              <w:rPr>
                <w:rFonts w:cs="Calibri"/>
                <w:sz w:val="24"/>
              </w:rPr>
              <w:t>amministrazione</w:t>
            </w:r>
            <w:r w:rsidRPr="00644F39">
              <w:rPr>
                <w:rFonts w:cs="Calibri"/>
                <w:spacing w:val="1"/>
                <w:sz w:val="24"/>
              </w:rPr>
              <w:t xml:space="preserve"> </w:t>
            </w:r>
            <w:r w:rsidRPr="00644F39">
              <w:rPr>
                <w:rFonts w:cs="Calibri"/>
                <w:sz w:val="24"/>
              </w:rPr>
              <w:t>o ente</w:t>
            </w:r>
            <w:r w:rsidRPr="00644F39">
              <w:rPr>
                <w:rFonts w:cs="Calibri"/>
                <w:spacing w:val="1"/>
                <w:sz w:val="24"/>
              </w:rPr>
              <w:t xml:space="preserve"> </w:t>
            </w:r>
            <w:r w:rsidRPr="00644F39">
              <w:rPr>
                <w:rFonts w:cs="Calibri"/>
                <w:sz w:val="24"/>
              </w:rPr>
              <w:t>pubblico</w:t>
            </w:r>
          </w:p>
          <w:p w14:paraId="12984629" w14:textId="77777777" w:rsidR="00FF4187" w:rsidRDefault="00FF4187" w:rsidP="00FF4187">
            <w:pPr>
              <w:pStyle w:val="Paragrafoelenco"/>
              <w:widowControl w:val="0"/>
              <w:numPr>
                <w:ilvl w:val="0"/>
                <w:numId w:val="1"/>
              </w:numPr>
              <w:autoSpaceDE w:val="0"/>
              <w:spacing w:line="288" w:lineRule="auto"/>
              <w:ind w:left="1068"/>
              <w:jc w:val="both"/>
              <w:rPr>
                <w:rFonts w:cs="Calibri"/>
                <w:sz w:val="24"/>
              </w:rPr>
            </w:pPr>
            <w:r w:rsidRPr="00644F39">
              <w:rPr>
                <w:rFonts w:cs="Calibri"/>
                <w:sz w:val="24"/>
              </w:rPr>
              <w:t>persona fisica</w:t>
            </w:r>
            <w:r>
              <w:rPr>
                <w:rFonts w:cs="Calibri"/>
                <w:sz w:val="24"/>
              </w:rPr>
              <w:t xml:space="preserve"> </w:t>
            </w:r>
          </w:p>
          <w:p w14:paraId="76C8405F" w14:textId="77777777" w:rsidR="00FF4187" w:rsidRPr="00644F39" w:rsidRDefault="00FF4187" w:rsidP="00FF4187">
            <w:pPr>
              <w:pStyle w:val="Paragrafoelenco"/>
              <w:widowControl w:val="0"/>
              <w:numPr>
                <w:ilvl w:val="0"/>
                <w:numId w:val="1"/>
              </w:numPr>
              <w:autoSpaceDE w:val="0"/>
              <w:spacing w:line="288" w:lineRule="auto"/>
              <w:ind w:left="1068"/>
              <w:jc w:val="both"/>
              <w:rPr>
                <w:rFonts w:cs="Calibri"/>
                <w:sz w:val="24"/>
              </w:rPr>
            </w:pPr>
            <w:r w:rsidRPr="00644F39">
              <w:rPr>
                <w:rFonts w:cs="Calibri"/>
                <w:sz w:val="24"/>
              </w:rPr>
              <w:t>altro (specificare)</w:t>
            </w:r>
          </w:p>
        </w:tc>
      </w:tr>
      <w:tr w:rsidR="00FF4187" w14:paraId="0B8A830E" w14:textId="77777777" w:rsidTr="00DB6190">
        <w:trPr>
          <w:trHeight w:val="425"/>
        </w:trPr>
        <w:tc>
          <w:tcPr>
            <w:tcW w:w="9778" w:type="dxa"/>
            <w:shd w:val="clear" w:color="auto" w:fill="F2F2F2" w:themeFill="background1" w:themeFillShade="F2"/>
          </w:tcPr>
          <w:p w14:paraId="5AE7D95C" w14:textId="77777777" w:rsidR="00FF4187" w:rsidRPr="00644F39" w:rsidRDefault="00FF4187" w:rsidP="00FF4187">
            <w:pPr>
              <w:pStyle w:val="Paragrafoelenco"/>
              <w:widowControl w:val="0"/>
              <w:numPr>
                <w:ilvl w:val="0"/>
                <w:numId w:val="3"/>
              </w:numPr>
              <w:autoSpaceDE w:val="0"/>
              <w:spacing w:line="288" w:lineRule="auto"/>
              <w:contextualSpacing w:val="0"/>
              <w:jc w:val="both"/>
              <w:rPr>
                <w:rFonts w:cs="Calibri"/>
                <w:b/>
                <w:sz w:val="24"/>
              </w:rPr>
            </w:pPr>
            <w:r w:rsidRPr="00644F39">
              <w:rPr>
                <w:rFonts w:cs="Calibri"/>
                <w:b/>
                <w:sz w:val="24"/>
              </w:rPr>
              <w:lastRenderedPageBreak/>
              <w:t xml:space="preserve">Intende avvalersi degli incentivi tariffari previsti?  </w:t>
            </w:r>
          </w:p>
        </w:tc>
      </w:tr>
      <w:tr w:rsidR="00FF4187" w14:paraId="30EF00BC" w14:textId="77777777" w:rsidTr="00DB6190">
        <w:trPr>
          <w:trHeight w:val="1256"/>
        </w:trPr>
        <w:tc>
          <w:tcPr>
            <w:tcW w:w="9778" w:type="dxa"/>
          </w:tcPr>
          <w:p w14:paraId="5BD26163" w14:textId="77777777" w:rsidR="00FF4187" w:rsidRDefault="00FF4187" w:rsidP="00DB6190">
            <w:pPr>
              <w:pStyle w:val="Paragrafoelenco"/>
              <w:widowControl w:val="0"/>
              <w:autoSpaceDE w:val="0"/>
              <w:spacing w:line="288" w:lineRule="auto"/>
              <w:contextualSpacing w:val="0"/>
              <w:jc w:val="both"/>
              <w:rPr>
                <w:rFonts w:cs="Calibri"/>
                <w:b/>
                <w:color w:val="595959"/>
                <w:sz w:val="24"/>
              </w:rPr>
            </w:pPr>
          </w:p>
        </w:tc>
      </w:tr>
    </w:tbl>
    <w:p w14:paraId="5BFC0A1B" w14:textId="77777777" w:rsidR="00FF4187" w:rsidRDefault="00FF4187" w:rsidP="00FF4187">
      <w:pPr>
        <w:spacing w:before="480" w:after="480" w:line="240" w:lineRule="auto"/>
        <w:jc w:val="center"/>
        <w:rPr>
          <w:b/>
          <w:color w:val="0070C0"/>
          <w:sz w:val="28"/>
          <w:szCs w:val="28"/>
        </w:rPr>
      </w:pPr>
    </w:p>
    <w:p w14:paraId="3E0016BB" w14:textId="77777777" w:rsidR="00FF4187" w:rsidRDefault="00FF4187">
      <w:r>
        <w:br w:type="page"/>
      </w:r>
    </w:p>
    <w:tbl>
      <w:tblPr>
        <w:tblStyle w:val="Grigliatabella"/>
        <w:tblW w:w="0" w:type="auto"/>
        <w:tblLook w:val="04A0" w:firstRow="1" w:lastRow="0" w:firstColumn="1" w:lastColumn="0" w:noHBand="0" w:noVBand="1"/>
      </w:tblPr>
      <w:tblGrid>
        <w:gridCol w:w="9628"/>
      </w:tblGrid>
      <w:tr w:rsidR="00FF4187" w:rsidRPr="00644F39" w14:paraId="36EE218F" w14:textId="77777777" w:rsidTr="00FF4187">
        <w:tc>
          <w:tcPr>
            <w:tcW w:w="9628" w:type="dxa"/>
            <w:shd w:val="clear" w:color="auto" w:fill="DAE9F7" w:themeFill="text2" w:themeFillTint="1A"/>
          </w:tcPr>
          <w:p w14:paraId="6F1C9788" w14:textId="222D46C1" w:rsidR="00FF4187" w:rsidRPr="00644F39" w:rsidRDefault="00FF4187" w:rsidP="00DB6190">
            <w:pPr>
              <w:spacing w:line="288" w:lineRule="auto"/>
              <w:rPr>
                <w:b/>
                <w:sz w:val="28"/>
                <w:szCs w:val="28"/>
              </w:rPr>
            </w:pPr>
            <w:r w:rsidRPr="00644F39">
              <w:rPr>
                <w:b/>
                <w:sz w:val="24"/>
                <w:szCs w:val="28"/>
              </w:rPr>
              <w:lastRenderedPageBreak/>
              <w:t xml:space="preserve">3. Chi sono i soggetti beneficiari </w:t>
            </w:r>
          </w:p>
        </w:tc>
      </w:tr>
      <w:tr w:rsidR="00FF4187" w:rsidRPr="00644F39" w14:paraId="1CBFBC93" w14:textId="77777777" w:rsidTr="00FF4187">
        <w:tc>
          <w:tcPr>
            <w:tcW w:w="9628" w:type="dxa"/>
            <w:shd w:val="clear" w:color="auto" w:fill="F2F2F2" w:themeFill="background1" w:themeFillShade="F2"/>
          </w:tcPr>
          <w:p w14:paraId="688A4D2E" w14:textId="77777777" w:rsidR="00FF4187" w:rsidRPr="00644F39" w:rsidRDefault="00FF4187" w:rsidP="00DB6190">
            <w:pPr>
              <w:spacing w:line="288" w:lineRule="auto"/>
              <w:rPr>
                <w:bCs/>
                <w:i/>
                <w:iCs/>
                <w:sz w:val="24"/>
                <w:szCs w:val="24"/>
              </w:rPr>
            </w:pPr>
            <w:r w:rsidRPr="00644F39">
              <w:rPr>
                <w:bCs/>
                <w:i/>
                <w:iCs/>
                <w:sz w:val="24"/>
                <w:szCs w:val="24"/>
              </w:rPr>
              <w:t>Q1. Si condividono i requisiti introdotti per i soggetti beneficiari?</w:t>
            </w:r>
          </w:p>
        </w:tc>
      </w:tr>
      <w:tr w:rsidR="00FF4187" w14:paraId="027F7A42" w14:textId="77777777" w:rsidTr="00FF4187">
        <w:tc>
          <w:tcPr>
            <w:tcW w:w="9628" w:type="dxa"/>
          </w:tcPr>
          <w:p w14:paraId="02B2053C" w14:textId="77777777" w:rsidR="00FF4187" w:rsidRDefault="00FF4187" w:rsidP="00DB6190">
            <w:pPr>
              <w:spacing w:line="288" w:lineRule="auto"/>
              <w:jc w:val="center"/>
              <w:rPr>
                <w:b/>
                <w:color w:val="0070C0"/>
                <w:sz w:val="28"/>
                <w:szCs w:val="28"/>
              </w:rPr>
            </w:pPr>
          </w:p>
        </w:tc>
      </w:tr>
      <w:tr w:rsidR="00FF4187" w:rsidRPr="00644F39" w14:paraId="67EB5888" w14:textId="77777777" w:rsidTr="00FF4187">
        <w:tc>
          <w:tcPr>
            <w:tcW w:w="9628" w:type="dxa"/>
            <w:shd w:val="clear" w:color="auto" w:fill="DAE9F7" w:themeFill="text2" w:themeFillTint="1A"/>
          </w:tcPr>
          <w:p w14:paraId="6F81F6F0" w14:textId="77777777" w:rsidR="00FF4187" w:rsidRPr="00644F39" w:rsidRDefault="00FF4187" w:rsidP="00DB6190">
            <w:pPr>
              <w:spacing w:line="288" w:lineRule="auto"/>
              <w:rPr>
                <w:b/>
                <w:sz w:val="24"/>
                <w:szCs w:val="28"/>
              </w:rPr>
            </w:pPr>
            <w:r w:rsidRPr="00644F39">
              <w:rPr>
                <w:b/>
                <w:sz w:val="24"/>
                <w:szCs w:val="28"/>
              </w:rPr>
              <w:t>4.</w:t>
            </w:r>
            <w:r>
              <w:rPr>
                <w:b/>
                <w:sz w:val="24"/>
                <w:szCs w:val="28"/>
              </w:rPr>
              <w:t xml:space="preserve"> </w:t>
            </w:r>
            <w:r w:rsidRPr="00644F39">
              <w:rPr>
                <w:b/>
                <w:sz w:val="24"/>
                <w:szCs w:val="28"/>
              </w:rPr>
              <w:t>Gli impianti di produzione di idrogeno prodotto a partire da fonti rinnovabili ammessi all’incentivo in conto esercizio</w:t>
            </w:r>
          </w:p>
        </w:tc>
      </w:tr>
      <w:tr w:rsidR="00FF4187" w:rsidRPr="00644F39" w14:paraId="65ECBB12" w14:textId="77777777" w:rsidTr="00FF4187">
        <w:tc>
          <w:tcPr>
            <w:tcW w:w="9628" w:type="dxa"/>
            <w:shd w:val="clear" w:color="auto" w:fill="F2F2F2" w:themeFill="background1" w:themeFillShade="F2"/>
          </w:tcPr>
          <w:p w14:paraId="4AB03BA3" w14:textId="77777777" w:rsidR="00FF4187" w:rsidRPr="00575B95" w:rsidRDefault="00FF4187" w:rsidP="00DB6190">
            <w:pPr>
              <w:pStyle w:val="Paragrafoelenco"/>
              <w:overflowPunct w:val="0"/>
              <w:autoSpaceDE w:val="0"/>
              <w:spacing w:line="288" w:lineRule="auto"/>
              <w:ind w:left="0"/>
              <w:jc w:val="both"/>
              <w:textAlignment w:val="baseline"/>
              <w:rPr>
                <w:rFonts w:eastAsia="Times New Roman" w:cs="Calibri"/>
                <w:i/>
                <w:iCs/>
                <w:sz w:val="24"/>
                <w:szCs w:val="28"/>
              </w:rPr>
            </w:pPr>
            <w:r w:rsidRPr="00575B95">
              <w:rPr>
                <w:rFonts w:eastAsia="Times New Roman" w:cs="Calibri"/>
                <w:i/>
                <w:iCs/>
                <w:sz w:val="24"/>
                <w:szCs w:val="28"/>
              </w:rPr>
              <w:t>Q.2 Si condividono le tipologie impiantistiche individuate ai fini dell’accesso alle tariffe incentivanti in conto esercizio? Quali ulteriori tipologie impiantistiche sarebbero da incentivare in conto esercizio in attuazione delle previsioni di cui all’art. 11, comma 2 del Dlgs 199/2021? Per quali ragioni tecniche ed economiche?</w:t>
            </w:r>
          </w:p>
        </w:tc>
      </w:tr>
      <w:tr w:rsidR="00FF4187" w14:paraId="15F78A8B" w14:textId="77777777" w:rsidTr="00FF4187">
        <w:tc>
          <w:tcPr>
            <w:tcW w:w="9628" w:type="dxa"/>
          </w:tcPr>
          <w:p w14:paraId="45D1A018" w14:textId="77777777" w:rsidR="00FF4187" w:rsidRPr="00575B95" w:rsidRDefault="00FF4187" w:rsidP="00DB6190">
            <w:pPr>
              <w:spacing w:line="288" w:lineRule="auto"/>
              <w:jc w:val="both"/>
              <w:rPr>
                <w:b/>
                <w:sz w:val="28"/>
                <w:szCs w:val="28"/>
              </w:rPr>
            </w:pPr>
          </w:p>
        </w:tc>
      </w:tr>
      <w:tr w:rsidR="00FF4187" w:rsidRPr="00644F39" w14:paraId="2CA3B067" w14:textId="77777777" w:rsidTr="00FF4187">
        <w:tc>
          <w:tcPr>
            <w:tcW w:w="9628" w:type="dxa"/>
            <w:shd w:val="clear" w:color="auto" w:fill="F2F2F2" w:themeFill="background1" w:themeFillShade="F2"/>
          </w:tcPr>
          <w:p w14:paraId="548AB775" w14:textId="77777777" w:rsidR="00FF4187" w:rsidRPr="00575B95" w:rsidRDefault="00FF4187" w:rsidP="00DB6190">
            <w:pPr>
              <w:pStyle w:val="Paragrafoelenco"/>
              <w:overflowPunct w:val="0"/>
              <w:autoSpaceDE w:val="0"/>
              <w:spacing w:line="288" w:lineRule="auto"/>
              <w:ind w:left="0"/>
              <w:jc w:val="both"/>
              <w:textAlignment w:val="baseline"/>
              <w:rPr>
                <w:rFonts w:eastAsia="Times New Roman" w:cs="Calibri"/>
                <w:i/>
                <w:iCs/>
                <w:sz w:val="24"/>
                <w:szCs w:val="28"/>
              </w:rPr>
            </w:pPr>
            <w:r w:rsidRPr="00575B95">
              <w:rPr>
                <w:rFonts w:eastAsia="Times New Roman" w:cs="Calibri"/>
                <w:i/>
                <w:iCs/>
                <w:sz w:val="24"/>
                <w:szCs w:val="28"/>
              </w:rPr>
              <w:t>Q.3 Quali sono i componenti tecnologici che possono concorrere alla definizione di:</w:t>
            </w:r>
          </w:p>
          <w:p w14:paraId="68ACEFD9" w14:textId="77777777" w:rsidR="00FF4187" w:rsidRPr="00575B95" w:rsidRDefault="00FF4187" w:rsidP="00FF4187">
            <w:pPr>
              <w:pStyle w:val="Paragrafoelenco"/>
              <w:numPr>
                <w:ilvl w:val="0"/>
                <w:numId w:val="2"/>
              </w:numPr>
              <w:overflowPunct w:val="0"/>
              <w:autoSpaceDE w:val="0"/>
              <w:spacing w:line="288" w:lineRule="auto"/>
              <w:ind w:left="1207"/>
              <w:jc w:val="both"/>
              <w:textAlignment w:val="baseline"/>
              <w:rPr>
                <w:rFonts w:eastAsia="Times New Roman" w:cs="Calibri"/>
                <w:i/>
                <w:iCs/>
                <w:sz w:val="24"/>
                <w:szCs w:val="28"/>
              </w:rPr>
            </w:pPr>
            <w:r w:rsidRPr="00575B95">
              <w:rPr>
                <w:rFonts w:eastAsia="Times New Roman" w:cs="Calibri"/>
                <w:i/>
                <w:iCs/>
                <w:sz w:val="24"/>
                <w:szCs w:val="28"/>
              </w:rPr>
              <w:t xml:space="preserve">impianto di produzione di bioidrogeno, in particolare per le tecnologie diversa da quella elettrolitica? </w:t>
            </w:r>
          </w:p>
          <w:p w14:paraId="4D7A4AB2" w14:textId="77777777" w:rsidR="00FF4187" w:rsidRPr="00575B95" w:rsidRDefault="00FF4187" w:rsidP="00FF4187">
            <w:pPr>
              <w:pStyle w:val="Paragrafoelenco"/>
              <w:numPr>
                <w:ilvl w:val="0"/>
                <w:numId w:val="2"/>
              </w:numPr>
              <w:overflowPunct w:val="0"/>
              <w:autoSpaceDE w:val="0"/>
              <w:spacing w:line="288" w:lineRule="auto"/>
              <w:ind w:left="1207"/>
              <w:jc w:val="both"/>
              <w:textAlignment w:val="baseline"/>
              <w:rPr>
                <w:rFonts w:eastAsia="Times New Roman" w:cs="Calibri"/>
                <w:i/>
                <w:iCs/>
                <w:sz w:val="24"/>
                <w:szCs w:val="28"/>
              </w:rPr>
            </w:pPr>
            <w:r w:rsidRPr="00575B95">
              <w:rPr>
                <w:rFonts w:eastAsia="Times New Roman" w:cs="Calibri"/>
                <w:i/>
                <w:iCs/>
                <w:sz w:val="24"/>
                <w:szCs w:val="28"/>
              </w:rPr>
              <w:t xml:space="preserve">impianto di conversione in idrogeno rinnovabile da altri vettori energetici? </w:t>
            </w:r>
          </w:p>
          <w:p w14:paraId="679079F6" w14:textId="77777777" w:rsidR="00FF4187" w:rsidRPr="00575B95" w:rsidRDefault="00FF4187" w:rsidP="00DB6190">
            <w:pPr>
              <w:spacing w:line="288" w:lineRule="auto"/>
              <w:jc w:val="both"/>
              <w:rPr>
                <w:b/>
                <w:sz w:val="28"/>
                <w:szCs w:val="28"/>
              </w:rPr>
            </w:pPr>
            <w:r w:rsidRPr="00575B95">
              <w:rPr>
                <w:rFonts w:eastAsia="Times New Roman" w:cs="Calibri"/>
                <w:i/>
                <w:iCs/>
                <w:sz w:val="24"/>
                <w:szCs w:val="28"/>
              </w:rPr>
              <w:t>Si forniscano elementi di dettaglio.</w:t>
            </w:r>
          </w:p>
        </w:tc>
      </w:tr>
      <w:tr w:rsidR="00FF4187" w14:paraId="5C6C0D5D" w14:textId="77777777" w:rsidTr="00FF4187">
        <w:tc>
          <w:tcPr>
            <w:tcW w:w="9628" w:type="dxa"/>
          </w:tcPr>
          <w:p w14:paraId="1EB337B0" w14:textId="77777777" w:rsidR="00FF4187" w:rsidRDefault="00FF4187" w:rsidP="00DB6190">
            <w:pPr>
              <w:spacing w:line="288" w:lineRule="auto"/>
              <w:jc w:val="center"/>
              <w:rPr>
                <w:b/>
                <w:color w:val="0070C0"/>
                <w:sz w:val="28"/>
                <w:szCs w:val="28"/>
              </w:rPr>
            </w:pPr>
          </w:p>
        </w:tc>
      </w:tr>
      <w:tr w:rsidR="00FF4187" w:rsidRPr="00575B95" w14:paraId="788C55A1" w14:textId="77777777" w:rsidTr="00FF4187">
        <w:tc>
          <w:tcPr>
            <w:tcW w:w="9628" w:type="dxa"/>
            <w:shd w:val="clear" w:color="auto" w:fill="DAE9F7" w:themeFill="text2" w:themeFillTint="1A"/>
          </w:tcPr>
          <w:p w14:paraId="38498BFE" w14:textId="77777777" w:rsidR="00FF4187" w:rsidRPr="00575B95" w:rsidRDefault="00FF4187" w:rsidP="00DB6190">
            <w:pPr>
              <w:spacing w:line="288" w:lineRule="auto"/>
              <w:rPr>
                <w:b/>
                <w:sz w:val="24"/>
                <w:szCs w:val="28"/>
              </w:rPr>
            </w:pPr>
            <w:r>
              <w:rPr>
                <w:b/>
                <w:sz w:val="24"/>
                <w:szCs w:val="28"/>
              </w:rPr>
              <w:t>5</w:t>
            </w:r>
            <w:r w:rsidRPr="00575B95">
              <w:rPr>
                <w:b/>
                <w:sz w:val="24"/>
                <w:szCs w:val="28"/>
              </w:rPr>
              <w:t>.</w:t>
            </w:r>
            <w:r>
              <w:rPr>
                <w:b/>
                <w:sz w:val="24"/>
                <w:szCs w:val="28"/>
              </w:rPr>
              <w:t xml:space="preserve"> </w:t>
            </w:r>
            <w:r w:rsidRPr="00575B95">
              <w:rPr>
                <w:b/>
                <w:sz w:val="24"/>
                <w:szCs w:val="28"/>
              </w:rPr>
              <w:t>I contingenti di produzione di idrogeno da assegnare tramite procedure competitive   ad asta</w:t>
            </w:r>
          </w:p>
        </w:tc>
      </w:tr>
      <w:tr w:rsidR="00FF4187" w:rsidRPr="00575B95" w14:paraId="23CCF239" w14:textId="77777777" w:rsidTr="00FF4187">
        <w:tc>
          <w:tcPr>
            <w:tcW w:w="9628" w:type="dxa"/>
            <w:shd w:val="clear" w:color="auto" w:fill="F2F2F2" w:themeFill="background1" w:themeFillShade="F2"/>
          </w:tcPr>
          <w:p w14:paraId="3ABDF0D5" w14:textId="77777777" w:rsidR="00FF4187" w:rsidRPr="00575B95" w:rsidRDefault="00FF4187" w:rsidP="00DB6190">
            <w:pPr>
              <w:pStyle w:val="Paragrafoelenco"/>
              <w:overflowPunct w:val="0"/>
              <w:autoSpaceDE w:val="0"/>
              <w:spacing w:line="288" w:lineRule="auto"/>
              <w:ind w:left="0"/>
              <w:jc w:val="both"/>
              <w:textAlignment w:val="baseline"/>
              <w:rPr>
                <w:rFonts w:eastAsia="Times New Roman" w:cs="Calibri"/>
                <w:i/>
                <w:iCs/>
                <w:sz w:val="24"/>
                <w:szCs w:val="28"/>
              </w:rPr>
            </w:pPr>
            <w:r w:rsidRPr="00575B95">
              <w:rPr>
                <w:rFonts w:eastAsia="Times New Roman" w:cs="Calibri"/>
                <w:i/>
                <w:iCs/>
                <w:sz w:val="24"/>
                <w:szCs w:val="28"/>
              </w:rPr>
              <w:t>Q</w:t>
            </w:r>
            <w:r>
              <w:rPr>
                <w:rFonts w:eastAsia="Times New Roman" w:cs="Calibri"/>
                <w:i/>
                <w:iCs/>
                <w:sz w:val="24"/>
                <w:szCs w:val="28"/>
              </w:rPr>
              <w:t>4</w:t>
            </w:r>
            <w:r w:rsidRPr="00575B95">
              <w:rPr>
                <w:rFonts w:eastAsia="Times New Roman" w:cs="Calibri"/>
                <w:i/>
                <w:iCs/>
                <w:sz w:val="24"/>
                <w:szCs w:val="28"/>
              </w:rPr>
              <w:t>.</w:t>
            </w:r>
            <w:r>
              <w:rPr>
                <w:rFonts w:eastAsia="Times New Roman" w:cs="Calibri"/>
                <w:i/>
                <w:iCs/>
                <w:sz w:val="24"/>
                <w:szCs w:val="28"/>
              </w:rPr>
              <w:t xml:space="preserve"> </w:t>
            </w:r>
            <w:r w:rsidRPr="00575B95">
              <w:rPr>
                <w:rFonts w:eastAsia="Times New Roman" w:cs="Calibri"/>
                <w:i/>
                <w:iCs/>
                <w:sz w:val="24"/>
                <w:szCs w:val="28"/>
              </w:rPr>
              <w:t>Si ritiene che i contingenti definiti, eventualmente suddivisi per settori, siano sufficienti a garantire una competitività adeguata?</w:t>
            </w:r>
          </w:p>
        </w:tc>
      </w:tr>
      <w:tr w:rsidR="00FF4187" w14:paraId="1492E238" w14:textId="77777777" w:rsidTr="00FF4187">
        <w:tc>
          <w:tcPr>
            <w:tcW w:w="9628" w:type="dxa"/>
          </w:tcPr>
          <w:p w14:paraId="08753C31" w14:textId="77777777" w:rsidR="00FF4187" w:rsidRDefault="00FF4187" w:rsidP="00DB6190">
            <w:pPr>
              <w:spacing w:line="288" w:lineRule="auto"/>
              <w:jc w:val="center"/>
              <w:rPr>
                <w:b/>
                <w:color w:val="0070C0"/>
                <w:sz w:val="28"/>
                <w:szCs w:val="28"/>
              </w:rPr>
            </w:pPr>
          </w:p>
        </w:tc>
      </w:tr>
      <w:tr w:rsidR="00FF4187" w:rsidRPr="00575B95" w14:paraId="4B3062A8" w14:textId="77777777" w:rsidTr="00FF4187">
        <w:tc>
          <w:tcPr>
            <w:tcW w:w="9628" w:type="dxa"/>
            <w:shd w:val="clear" w:color="auto" w:fill="F2F2F2" w:themeFill="background1" w:themeFillShade="F2"/>
          </w:tcPr>
          <w:p w14:paraId="61FD3D95" w14:textId="77777777" w:rsidR="00FF4187" w:rsidRPr="00575B95" w:rsidRDefault="00FF4187" w:rsidP="00DB6190">
            <w:pPr>
              <w:pStyle w:val="Paragrafoelenco"/>
              <w:overflowPunct w:val="0"/>
              <w:autoSpaceDE w:val="0"/>
              <w:spacing w:line="288" w:lineRule="auto"/>
              <w:ind w:left="0"/>
              <w:jc w:val="both"/>
              <w:textAlignment w:val="baseline"/>
              <w:rPr>
                <w:rFonts w:eastAsia="Times New Roman" w:cs="Calibri"/>
                <w:i/>
                <w:iCs/>
                <w:sz w:val="24"/>
                <w:szCs w:val="28"/>
              </w:rPr>
            </w:pPr>
            <w:r w:rsidRPr="00575B95">
              <w:rPr>
                <w:rFonts w:eastAsia="Times New Roman" w:cs="Calibri"/>
                <w:i/>
                <w:iCs/>
                <w:sz w:val="24"/>
                <w:szCs w:val="28"/>
              </w:rPr>
              <w:t>Q</w:t>
            </w:r>
            <w:r>
              <w:rPr>
                <w:rFonts w:eastAsia="Times New Roman" w:cs="Calibri"/>
                <w:i/>
                <w:iCs/>
                <w:sz w:val="24"/>
                <w:szCs w:val="28"/>
              </w:rPr>
              <w:t>5</w:t>
            </w:r>
            <w:r w:rsidRPr="00575B95">
              <w:rPr>
                <w:rFonts w:eastAsia="Times New Roman" w:cs="Calibri"/>
                <w:i/>
                <w:iCs/>
                <w:sz w:val="24"/>
                <w:szCs w:val="28"/>
              </w:rPr>
              <w:t>.</w:t>
            </w:r>
            <w:r>
              <w:rPr>
                <w:rFonts w:eastAsia="Times New Roman" w:cs="Calibri"/>
                <w:i/>
                <w:iCs/>
                <w:sz w:val="24"/>
                <w:szCs w:val="28"/>
              </w:rPr>
              <w:t xml:space="preserve"> </w:t>
            </w:r>
            <w:r w:rsidRPr="00575B95">
              <w:rPr>
                <w:rFonts w:eastAsia="Times New Roman" w:cs="Calibri"/>
                <w:i/>
                <w:iCs/>
                <w:sz w:val="24"/>
                <w:szCs w:val="28"/>
              </w:rPr>
              <w:t>In base a quali driver dovrebbe basarsi la suddivisione annuale dei contingenti complessivi?</w:t>
            </w:r>
          </w:p>
        </w:tc>
      </w:tr>
      <w:tr w:rsidR="00FF4187" w14:paraId="7CEE7488" w14:textId="77777777" w:rsidTr="00FF4187">
        <w:tc>
          <w:tcPr>
            <w:tcW w:w="9628" w:type="dxa"/>
          </w:tcPr>
          <w:p w14:paraId="1A45A598" w14:textId="77777777" w:rsidR="00FF4187" w:rsidRDefault="00FF4187" w:rsidP="00DB6190">
            <w:pPr>
              <w:spacing w:line="288" w:lineRule="auto"/>
              <w:jc w:val="center"/>
              <w:rPr>
                <w:b/>
                <w:color w:val="0070C0"/>
                <w:sz w:val="28"/>
                <w:szCs w:val="28"/>
              </w:rPr>
            </w:pPr>
          </w:p>
        </w:tc>
      </w:tr>
      <w:tr w:rsidR="00FF4187" w:rsidRPr="00575B95" w14:paraId="1ACC54BC" w14:textId="77777777" w:rsidTr="00FF4187">
        <w:tc>
          <w:tcPr>
            <w:tcW w:w="9628" w:type="dxa"/>
            <w:shd w:val="clear" w:color="auto" w:fill="DAE9F7" w:themeFill="text2" w:themeFillTint="1A"/>
          </w:tcPr>
          <w:p w14:paraId="62F98E13" w14:textId="77777777" w:rsidR="00FF4187" w:rsidRPr="00575B95" w:rsidRDefault="00FF4187" w:rsidP="00DB6190">
            <w:pPr>
              <w:spacing w:line="288" w:lineRule="auto"/>
              <w:rPr>
                <w:b/>
                <w:sz w:val="24"/>
                <w:szCs w:val="28"/>
              </w:rPr>
            </w:pPr>
            <w:r>
              <w:rPr>
                <w:b/>
                <w:sz w:val="24"/>
                <w:szCs w:val="28"/>
              </w:rPr>
              <w:t>6</w:t>
            </w:r>
            <w:r w:rsidRPr="00575B95">
              <w:rPr>
                <w:b/>
                <w:sz w:val="24"/>
                <w:szCs w:val="28"/>
              </w:rPr>
              <w:t>.</w:t>
            </w:r>
            <w:r>
              <w:rPr>
                <w:b/>
                <w:sz w:val="24"/>
                <w:szCs w:val="28"/>
              </w:rPr>
              <w:t xml:space="preserve"> </w:t>
            </w:r>
            <w:r w:rsidRPr="00575B95">
              <w:rPr>
                <w:b/>
                <w:sz w:val="24"/>
                <w:szCs w:val="28"/>
              </w:rPr>
              <w:t>I requisiti di accesso alle tariffe incentivanti in conto esercizio</w:t>
            </w:r>
          </w:p>
        </w:tc>
      </w:tr>
      <w:tr w:rsidR="00FF4187" w:rsidRPr="00575B95" w14:paraId="19B21E90" w14:textId="77777777" w:rsidTr="00FF4187">
        <w:tc>
          <w:tcPr>
            <w:tcW w:w="9628" w:type="dxa"/>
            <w:shd w:val="clear" w:color="auto" w:fill="F2F2F2" w:themeFill="background1" w:themeFillShade="F2"/>
          </w:tcPr>
          <w:p w14:paraId="2BDB5E01" w14:textId="77777777" w:rsidR="00FF4187" w:rsidRPr="00575B95" w:rsidRDefault="00FF4187" w:rsidP="00DB6190">
            <w:pPr>
              <w:pStyle w:val="Paragrafoelenco"/>
              <w:overflowPunct w:val="0"/>
              <w:autoSpaceDE w:val="0"/>
              <w:spacing w:line="288" w:lineRule="auto"/>
              <w:ind w:left="0"/>
              <w:jc w:val="both"/>
              <w:textAlignment w:val="baseline"/>
              <w:rPr>
                <w:rFonts w:eastAsia="Times New Roman" w:cs="Calibri"/>
                <w:i/>
                <w:iCs/>
                <w:sz w:val="24"/>
                <w:szCs w:val="28"/>
              </w:rPr>
            </w:pPr>
            <w:r w:rsidRPr="00575B95">
              <w:rPr>
                <w:rFonts w:eastAsia="Times New Roman" w:cs="Calibri"/>
                <w:i/>
                <w:iCs/>
                <w:sz w:val="24"/>
                <w:szCs w:val="28"/>
              </w:rPr>
              <w:t>Q</w:t>
            </w:r>
            <w:r>
              <w:rPr>
                <w:rFonts w:eastAsia="Times New Roman" w:cs="Calibri"/>
                <w:i/>
                <w:iCs/>
                <w:sz w:val="24"/>
                <w:szCs w:val="28"/>
              </w:rPr>
              <w:t>6</w:t>
            </w:r>
            <w:r w:rsidRPr="00575B95">
              <w:rPr>
                <w:rFonts w:eastAsia="Times New Roman" w:cs="Calibri"/>
                <w:i/>
                <w:iCs/>
                <w:sz w:val="24"/>
                <w:szCs w:val="28"/>
              </w:rPr>
              <w:t>.</w:t>
            </w:r>
            <w:r>
              <w:rPr>
                <w:rFonts w:eastAsia="Times New Roman" w:cs="Calibri"/>
                <w:i/>
                <w:iCs/>
                <w:sz w:val="24"/>
                <w:szCs w:val="28"/>
              </w:rPr>
              <w:t xml:space="preserve"> </w:t>
            </w:r>
            <w:r w:rsidRPr="00575B95">
              <w:rPr>
                <w:rFonts w:eastAsia="Times New Roman" w:cs="Calibri"/>
                <w:i/>
                <w:iCs/>
                <w:sz w:val="24"/>
                <w:szCs w:val="28"/>
              </w:rPr>
              <w:t>Si ritengono i requisiti indicati adeguati a garantire un’effettiva competitività alle procedure di gara? In caso negativo, indicare eventuali ulteriori o diversi requisiti specificandone le motivazioni ed i razionali.</w:t>
            </w:r>
          </w:p>
        </w:tc>
      </w:tr>
      <w:tr w:rsidR="00FF4187" w14:paraId="1DA6BEDB" w14:textId="77777777" w:rsidTr="00FF4187">
        <w:tc>
          <w:tcPr>
            <w:tcW w:w="9628" w:type="dxa"/>
          </w:tcPr>
          <w:p w14:paraId="614B37C1" w14:textId="77777777" w:rsidR="00FF4187" w:rsidRPr="00575B95" w:rsidRDefault="00FF4187" w:rsidP="00DB6190">
            <w:pPr>
              <w:spacing w:line="288" w:lineRule="auto"/>
              <w:jc w:val="center"/>
              <w:rPr>
                <w:b/>
                <w:color w:val="0070C0"/>
                <w:sz w:val="28"/>
                <w:szCs w:val="28"/>
              </w:rPr>
            </w:pPr>
          </w:p>
        </w:tc>
      </w:tr>
      <w:tr w:rsidR="00FF4187" w:rsidRPr="00575B95" w14:paraId="648E9B83" w14:textId="77777777" w:rsidTr="00FF4187">
        <w:tc>
          <w:tcPr>
            <w:tcW w:w="9628" w:type="dxa"/>
            <w:shd w:val="clear" w:color="auto" w:fill="F2F2F2" w:themeFill="background1" w:themeFillShade="F2"/>
          </w:tcPr>
          <w:p w14:paraId="20F4A5F0" w14:textId="77777777" w:rsidR="00FF4187" w:rsidRPr="00575B95" w:rsidRDefault="00FF4187" w:rsidP="00DB6190">
            <w:pPr>
              <w:pStyle w:val="Paragrafoelenco"/>
              <w:overflowPunct w:val="0"/>
              <w:autoSpaceDE w:val="0"/>
              <w:spacing w:line="288" w:lineRule="auto"/>
              <w:ind w:left="0"/>
              <w:jc w:val="both"/>
              <w:textAlignment w:val="baseline"/>
              <w:rPr>
                <w:rFonts w:eastAsia="Times New Roman" w:cs="Calibri"/>
                <w:i/>
                <w:iCs/>
                <w:sz w:val="24"/>
                <w:szCs w:val="28"/>
              </w:rPr>
            </w:pPr>
            <w:r w:rsidRPr="00575B95">
              <w:rPr>
                <w:rFonts w:eastAsia="Times New Roman" w:cs="Calibri"/>
                <w:i/>
                <w:iCs/>
                <w:sz w:val="24"/>
                <w:szCs w:val="28"/>
              </w:rPr>
              <w:t>Q</w:t>
            </w:r>
            <w:r>
              <w:rPr>
                <w:rFonts w:eastAsia="Times New Roman" w:cs="Calibri"/>
                <w:i/>
                <w:iCs/>
                <w:sz w:val="24"/>
                <w:szCs w:val="28"/>
              </w:rPr>
              <w:t>7</w:t>
            </w:r>
            <w:r w:rsidRPr="00575B95">
              <w:rPr>
                <w:rFonts w:eastAsia="Times New Roman" w:cs="Calibri"/>
                <w:i/>
                <w:iCs/>
                <w:sz w:val="24"/>
                <w:szCs w:val="28"/>
              </w:rPr>
              <w:t>.</w:t>
            </w:r>
            <w:r>
              <w:rPr>
                <w:rFonts w:eastAsia="Times New Roman" w:cs="Calibri"/>
                <w:i/>
                <w:iCs/>
                <w:sz w:val="24"/>
                <w:szCs w:val="28"/>
              </w:rPr>
              <w:t xml:space="preserve"> </w:t>
            </w:r>
            <w:r w:rsidRPr="00575B95">
              <w:rPr>
                <w:rFonts w:eastAsia="Times New Roman" w:cs="Calibri"/>
                <w:i/>
                <w:iCs/>
                <w:sz w:val="24"/>
                <w:szCs w:val="28"/>
              </w:rPr>
              <w:t>Si ritiene percorribile l’introduzione del requisito del possesso, per una quota prevalente della produzione di idrogeno, di accordi (</w:t>
            </w:r>
            <w:proofErr w:type="spellStart"/>
            <w:r w:rsidRPr="00575B95">
              <w:rPr>
                <w:rFonts w:eastAsia="Times New Roman" w:cs="Calibri"/>
                <w:i/>
                <w:iCs/>
                <w:sz w:val="24"/>
                <w:szCs w:val="28"/>
              </w:rPr>
              <w:t>MoU</w:t>
            </w:r>
            <w:proofErr w:type="spellEnd"/>
            <w:r w:rsidRPr="00575B95">
              <w:rPr>
                <w:rFonts w:eastAsia="Times New Roman" w:cs="Calibri"/>
                <w:i/>
                <w:iCs/>
                <w:sz w:val="24"/>
                <w:szCs w:val="28"/>
              </w:rPr>
              <w:t xml:space="preserve">) o altri </w:t>
            </w:r>
            <w:proofErr w:type="spellStart"/>
            <w:r w:rsidRPr="00575B95">
              <w:rPr>
                <w:rFonts w:eastAsia="Times New Roman" w:cs="Calibri"/>
                <w:i/>
                <w:iCs/>
                <w:sz w:val="24"/>
                <w:szCs w:val="28"/>
              </w:rPr>
              <w:t>pre</w:t>
            </w:r>
            <w:proofErr w:type="spellEnd"/>
            <w:r w:rsidRPr="00575B95">
              <w:rPr>
                <w:rFonts w:eastAsia="Times New Roman" w:cs="Calibri"/>
                <w:i/>
                <w:iCs/>
                <w:sz w:val="24"/>
                <w:szCs w:val="28"/>
              </w:rPr>
              <w:t>-accordi commerciali con gli utilizzatori finali, al momento di partecipazione delle procedure competitive? Si condivide l’utilizzo esclusivo delle GO, da annullare automaticamente in fase di emissione a favore dei relativi utilizzatori finali, per verificare l’effettiva destinazione d’uso della produzione di idrogeno?</w:t>
            </w:r>
          </w:p>
        </w:tc>
      </w:tr>
      <w:tr w:rsidR="00FF4187" w14:paraId="2C027392" w14:textId="77777777" w:rsidTr="00FF4187">
        <w:tc>
          <w:tcPr>
            <w:tcW w:w="9628" w:type="dxa"/>
          </w:tcPr>
          <w:p w14:paraId="4DF0DAB0" w14:textId="77777777" w:rsidR="00FF4187" w:rsidRPr="00575B95" w:rsidRDefault="00FF4187" w:rsidP="00DB6190">
            <w:pPr>
              <w:spacing w:line="288" w:lineRule="auto"/>
              <w:jc w:val="center"/>
              <w:rPr>
                <w:b/>
                <w:color w:val="0070C0"/>
                <w:sz w:val="28"/>
                <w:szCs w:val="28"/>
              </w:rPr>
            </w:pPr>
          </w:p>
        </w:tc>
      </w:tr>
      <w:tr w:rsidR="00FF4187" w:rsidRPr="00575B95" w14:paraId="46611BC0" w14:textId="77777777" w:rsidTr="00FF4187">
        <w:tc>
          <w:tcPr>
            <w:tcW w:w="9628" w:type="dxa"/>
            <w:shd w:val="clear" w:color="auto" w:fill="DAE9F7" w:themeFill="text2" w:themeFillTint="1A"/>
          </w:tcPr>
          <w:p w14:paraId="75187583" w14:textId="77777777" w:rsidR="00FF4187" w:rsidRPr="00575B95" w:rsidRDefault="00FF4187" w:rsidP="00DB6190">
            <w:pPr>
              <w:spacing w:line="288" w:lineRule="auto"/>
              <w:rPr>
                <w:b/>
                <w:sz w:val="24"/>
                <w:szCs w:val="28"/>
              </w:rPr>
            </w:pPr>
            <w:r>
              <w:rPr>
                <w:b/>
                <w:sz w:val="24"/>
                <w:szCs w:val="28"/>
              </w:rPr>
              <w:t>7</w:t>
            </w:r>
            <w:r w:rsidRPr="00575B95">
              <w:rPr>
                <w:b/>
                <w:sz w:val="24"/>
                <w:szCs w:val="28"/>
              </w:rPr>
              <w:t>.</w:t>
            </w:r>
            <w:r>
              <w:rPr>
                <w:b/>
                <w:sz w:val="24"/>
                <w:szCs w:val="28"/>
              </w:rPr>
              <w:t xml:space="preserve"> </w:t>
            </w:r>
            <w:r w:rsidRPr="00575B95">
              <w:rPr>
                <w:b/>
                <w:sz w:val="24"/>
                <w:szCs w:val="28"/>
              </w:rPr>
              <w:t>Definizione dei progetti di riferimento, calcolo del costo medio di generazione dell’idrogeno e valutazione del costo della CO2 evitata</w:t>
            </w:r>
          </w:p>
        </w:tc>
      </w:tr>
      <w:tr w:rsidR="00FF4187" w:rsidRPr="00575B95" w14:paraId="3D65BB69" w14:textId="77777777" w:rsidTr="00FF4187">
        <w:tc>
          <w:tcPr>
            <w:tcW w:w="9628" w:type="dxa"/>
            <w:shd w:val="clear" w:color="auto" w:fill="F2F2F2" w:themeFill="background1" w:themeFillShade="F2"/>
          </w:tcPr>
          <w:p w14:paraId="167263A7" w14:textId="77777777" w:rsidR="00FF4187" w:rsidRPr="00575B95" w:rsidRDefault="00FF4187" w:rsidP="00DB6190">
            <w:pPr>
              <w:pStyle w:val="Paragrafoelenco"/>
              <w:overflowPunct w:val="0"/>
              <w:autoSpaceDE w:val="0"/>
              <w:spacing w:line="288" w:lineRule="auto"/>
              <w:ind w:left="0"/>
              <w:jc w:val="both"/>
              <w:textAlignment w:val="baseline"/>
              <w:rPr>
                <w:rFonts w:eastAsia="Times New Roman" w:cs="Calibri"/>
                <w:i/>
                <w:iCs/>
                <w:sz w:val="24"/>
                <w:szCs w:val="28"/>
              </w:rPr>
            </w:pPr>
            <w:r w:rsidRPr="00575B95">
              <w:rPr>
                <w:rFonts w:eastAsia="Times New Roman" w:cs="Calibri"/>
                <w:i/>
                <w:iCs/>
                <w:sz w:val="24"/>
                <w:szCs w:val="28"/>
              </w:rPr>
              <w:t>Q</w:t>
            </w:r>
            <w:r>
              <w:rPr>
                <w:rFonts w:eastAsia="Times New Roman" w:cs="Calibri"/>
                <w:i/>
                <w:iCs/>
                <w:sz w:val="24"/>
                <w:szCs w:val="28"/>
              </w:rPr>
              <w:t>8</w:t>
            </w:r>
            <w:r w:rsidRPr="00575B95">
              <w:rPr>
                <w:rFonts w:eastAsia="Times New Roman" w:cs="Calibri"/>
                <w:i/>
                <w:iCs/>
                <w:sz w:val="24"/>
                <w:szCs w:val="28"/>
              </w:rPr>
              <w:t>.</w:t>
            </w:r>
            <w:r>
              <w:rPr>
                <w:rFonts w:eastAsia="Times New Roman" w:cs="Calibri"/>
                <w:i/>
                <w:iCs/>
                <w:sz w:val="24"/>
                <w:szCs w:val="28"/>
              </w:rPr>
              <w:t xml:space="preserve"> </w:t>
            </w:r>
            <w:r w:rsidRPr="00575B95">
              <w:rPr>
                <w:rFonts w:eastAsia="Times New Roman" w:cs="Calibri"/>
                <w:i/>
                <w:iCs/>
                <w:sz w:val="24"/>
                <w:szCs w:val="28"/>
              </w:rPr>
              <w:t>Si condividono le ipotesi utilizzate per la definizione dei progetti di riferimento e la metodologia di verifica della necessità e proporzionalità dell’aiuto?</w:t>
            </w:r>
          </w:p>
        </w:tc>
      </w:tr>
      <w:tr w:rsidR="00FF4187" w14:paraId="05BE9EF3" w14:textId="77777777" w:rsidTr="00FF4187">
        <w:tc>
          <w:tcPr>
            <w:tcW w:w="9628" w:type="dxa"/>
          </w:tcPr>
          <w:p w14:paraId="02D37866" w14:textId="77777777" w:rsidR="00FF4187" w:rsidRDefault="00FF4187" w:rsidP="00DB6190">
            <w:pPr>
              <w:spacing w:line="288" w:lineRule="auto"/>
              <w:jc w:val="center"/>
              <w:rPr>
                <w:b/>
                <w:color w:val="0070C0"/>
                <w:sz w:val="28"/>
                <w:szCs w:val="28"/>
              </w:rPr>
            </w:pPr>
          </w:p>
        </w:tc>
      </w:tr>
      <w:tr w:rsidR="00FF4187" w:rsidRPr="00575B95" w14:paraId="547EEB92" w14:textId="77777777" w:rsidTr="00FF4187">
        <w:tc>
          <w:tcPr>
            <w:tcW w:w="9628" w:type="dxa"/>
            <w:shd w:val="clear" w:color="auto" w:fill="F2F2F2" w:themeFill="background1" w:themeFillShade="F2"/>
          </w:tcPr>
          <w:p w14:paraId="7CE4851A" w14:textId="77777777" w:rsidR="00FF4187" w:rsidRPr="00575B95" w:rsidRDefault="00FF4187" w:rsidP="00DB6190">
            <w:pPr>
              <w:pStyle w:val="Paragrafoelenco"/>
              <w:overflowPunct w:val="0"/>
              <w:autoSpaceDE w:val="0"/>
              <w:spacing w:line="288" w:lineRule="auto"/>
              <w:ind w:left="0"/>
              <w:jc w:val="both"/>
              <w:textAlignment w:val="baseline"/>
              <w:rPr>
                <w:rFonts w:eastAsia="Times New Roman" w:cs="Calibri"/>
                <w:i/>
                <w:iCs/>
                <w:sz w:val="24"/>
                <w:szCs w:val="28"/>
              </w:rPr>
            </w:pPr>
            <w:r w:rsidRPr="00575B95">
              <w:rPr>
                <w:rFonts w:eastAsia="Times New Roman" w:cs="Calibri"/>
                <w:i/>
                <w:iCs/>
                <w:sz w:val="24"/>
                <w:szCs w:val="28"/>
              </w:rPr>
              <w:t>Q</w:t>
            </w:r>
            <w:r>
              <w:rPr>
                <w:rFonts w:eastAsia="Times New Roman" w:cs="Calibri"/>
                <w:i/>
                <w:iCs/>
                <w:sz w:val="24"/>
                <w:szCs w:val="28"/>
              </w:rPr>
              <w:t>9</w:t>
            </w:r>
            <w:r w:rsidRPr="00575B95">
              <w:rPr>
                <w:rFonts w:eastAsia="Times New Roman" w:cs="Calibri"/>
                <w:i/>
                <w:iCs/>
                <w:sz w:val="24"/>
                <w:szCs w:val="28"/>
              </w:rPr>
              <w:t>.</w:t>
            </w:r>
            <w:r>
              <w:rPr>
                <w:rFonts w:eastAsia="Times New Roman" w:cs="Calibri"/>
                <w:i/>
                <w:iCs/>
                <w:sz w:val="24"/>
                <w:szCs w:val="28"/>
              </w:rPr>
              <w:t xml:space="preserve"> </w:t>
            </w:r>
            <w:r w:rsidRPr="00575B95">
              <w:rPr>
                <w:rFonts w:eastAsia="Times New Roman" w:cs="Calibri"/>
                <w:i/>
                <w:iCs/>
                <w:sz w:val="24"/>
                <w:szCs w:val="28"/>
              </w:rPr>
              <w:t>Quali tra i seguenti dati:</w:t>
            </w:r>
          </w:p>
          <w:p w14:paraId="65D32973" w14:textId="77777777" w:rsidR="00FF4187" w:rsidRPr="00575B95" w:rsidRDefault="00FF4187" w:rsidP="00FF4187">
            <w:pPr>
              <w:pStyle w:val="Paragrafoelenco"/>
              <w:numPr>
                <w:ilvl w:val="0"/>
                <w:numId w:val="4"/>
              </w:numPr>
              <w:overflowPunct w:val="0"/>
              <w:autoSpaceDE w:val="0"/>
              <w:spacing w:line="288" w:lineRule="auto"/>
              <w:jc w:val="both"/>
              <w:textAlignment w:val="baseline"/>
              <w:rPr>
                <w:rFonts w:eastAsia="Times New Roman" w:cs="Calibri"/>
                <w:i/>
                <w:iCs/>
                <w:sz w:val="24"/>
                <w:szCs w:val="28"/>
              </w:rPr>
            </w:pPr>
            <w:r w:rsidRPr="00575B95">
              <w:rPr>
                <w:rFonts w:eastAsia="Times New Roman" w:cs="Calibri"/>
                <w:i/>
                <w:iCs/>
                <w:sz w:val="24"/>
                <w:szCs w:val="28"/>
              </w:rPr>
              <w:t>taglia elettrolizzatori [range min/max MW]</w:t>
            </w:r>
          </w:p>
          <w:p w14:paraId="70EA0ACC" w14:textId="77777777" w:rsidR="00FF4187" w:rsidRPr="00575B95" w:rsidRDefault="00FF4187" w:rsidP="00FF4187">
            <w:pPr>
              <w:pStyle w:val="Paragrafoelenco"/>
              <w:numPr>
                <w:ilvl w:val="0"/>
                <w:numId w:val="4"/>
              </w:numPr>
              <w:overflowPunct w:val="0"/>
              <w:autoSpaceDE w:val="0"/>
              <w:spacing w:line="288" w:lineRule="auto"/>
              <w:jc w:val="both"/>
              <w:textAlignment w:val="baseline"/>
              <w:rPr>
                <w:rFonts w:eastAsia="Times New Roman" w:cs="Calibri"/>
                <w:i/>
                <w:iCs/>
                <w:sz w:val="24"/>
                <w:szCs w:val="28"/>
              </w:rPr>
            </w:pPr>
            <w:r w:rsidRPr="00575B95">
              <w:rPr>
                <w:rFonts w:eastAsia="Times New Roman" w:cs="Calibri"/>
                <w:i/>
                <w:iCs/>
                <w:sz w:val="24"/>
                <w:szCs w:val="28"/>
              </w:rPr>
              <w:t>taglia impianti FER [range min/max MW]</w:t>
            </w:r>
          </w:p>
          <w:p w14:paraId="5DAD3522" w14:textId="77777777" w:rsidR="00FF4187" w:rsidRPr="00575B95" w:rsidRDefault="00FF4187" w:rsidP="00FF4187">
            <w:pPr>
              <w:pStyle w:val="Paragrafoelenco"/>
              <w:numPr>
                <w:ilvl w:val="0"/>
                <w:numId w:val="4"/>
              </w:numPr>
              <w:overflowPunct w:val="0"/>
              <w:autoSpaceDE w:val="0"/>
              <w:spacing w:line="288" w:lineRule="auto"/>
              <w:jc w:val="both"/>
              <w:textAlignment w:val="baseline"/>
              <w:rPr>
                <w:rFonts w:eastAsia="Times New Roman" w:cs="Calibri"/>
                <w:i/>
                <w:iCs/>
                <w:sz w:val="24"/>
                <w:szCs w:val="28"/>
              </w:rPr>
            </w:pPr>
            <w:r w:rsidRPr="00575B95">
              <w:rPr>
                <w:rFonts w:eastAsia="Times New Roman" w:cs="Calibri"/>
                <w:i/>
                <w:iCs/>
                <w:sz w:val="24"/>
                <w:szCs w:val="28"/>
              </w:rPr>
              <w:t>rapporto tra potenze FER/Elettrolizzatore</w:t>
            </w:r>
          </w:p>
          <w:p w14:paraId="58DC5176" w14:textId="77777777" w:rsidR="00FF4187" w:rsidRPr="00575B95" w:rsidRDefault="00FF4187" w:rsidP="00FF4187">
            <w:pPr>
              <w:pStyle w:val="Paragrafoelenco"/>
              <w:numPr>
                <w:ilvl w:val="0"/>
                <w:numId w:val="4"/>
              </w:numPr>
              <w:overflowPunct w:val="0"/>
              <w:autoSpaceDE w:val="0"/>
              <w:spacing w:line="288" w:lineRule="auto"/>
              <w:jc w:val="both"/>
              <w:textAlignment w:val="baseline"/>
              <w:rPr>
                <w:rFonts w:eastAsia="Times New Roman" w:cs="Calibri"/>
                <w:i/>
                <w:iCs/>
                <w:sz w:val="24"/>
                <w:szCs w:val="28"/>
              </w:rPr>
            </w:pPr>
            <w:r w:rsidRPr="00575B95">
              <w:rPr>
                <w:rFonts w:eastAsia="Times New Roman" w:cs="Calibri"/>
                <w:i/>
                <w:iCs/>
                <w:sz w:val="24"/>
                <w:szCs w:val="28"/>
              </w:rPr>
              <w:t>mix di alimentazione energia elettrica – PPA/rete/on-site</w:t>
            </w:r>
          </w:p>
          <w:p w14:paraId="172DFC3A" w14:textId="77777777" w:rsidR="00FF4187" w:rsidRPr="00575B95" w:rsidRDefault="00FF4187" w:rsidP="00FF4187">
            <w:pPr>
              <w:pStyle w:val="Paragrafoelenco"/>
              <w:numPr>
                <w:ilvl w:val="0"/>
                <w:numId w:val="4"/>
              </w:numPr>
              <w:overflowPunct w:val="0"/>
              <w:autoSpaceDE w:val="0"/>
              <w:spacing w:line="288" w:lineRule="auto"/>
              <w:jc w:val="both"/>
              <w:textAlignment w:val="baseline"/>
              <w:rPr>
                <w:rFonts w:eastAsia="Times New Roman" w:cs="Calibri"/>
                <w:i/>
                <w:iCs/>
                <w:sz w:val="24"/>
                <w:szCs w:val="28"/>
              </w:rPr>
            </w:pPr>
            <w:r w:rsidRPr="00575B95">
              <w:rPr>
                <w:rFonts w:eastAsia="Times New Roman" w:cs="Calibri"/>
                <w:i/>
                <w:iCs/>
                <w:sz w:val="24"/>
                <w:szCs w:val="28"/>
              </w:rPr>
              <w:t>stoccaggio energia elettrica</w:t>
            </w:r>
          </w:p>
          <w:p w14:paraId="5A32072C" w14:textId="77777777" w:rsidR="00FF4187" w:rsidRPr="00575B95" w:rsidRDefault="00FF4187" w:rsidP="00FF4187">
            <w:pPr>
              <w:pStyle w:val="Paragrafoelenco"/>
              <w:numPr>
                <w:ilvl w:val="0"/>
                <w:numId w:val="4"/>
              </w:numPr>
              <w:overflowPunct w:val="0"/>
              <w:autoSpaceDE w:val="0"/>
              <w:spacing w:line="288" w:lineRule="auto"/>
              <w:jc w:val="both"/>
              <w:textAlignment w:val="baseline"/>
              <w:rPr>
                <w:rFonts w:eastAsia="Times New Roman" w:cs="Calibri"/>
                <w:i/>
                <w:iCs/>
                <w:sz w:val="24"/>
                <w:szCs w:val="28"/>
              </w:rPr>
            </w:pPr>
            <w:r w:rsidRPr="00575B95">
              <w:rPr>
                <w:rFonts w:eastAsia="Times New Roman" w:cs="Calibri"/>
                <w:i/>
                <w:iCs/>
                <w:sz w:val="24"/>
                <w:szCs w:val="28"/>
              </w:rPr>
              <w:t>stoccaggio idrogeno</w:t>
            </w:r>
          </w:p>
          <w:p w14:paraId="4C4A1579" w14:textId="77777777" w:rsidR="00FF4187" w:rsidRPr="00575B95" w:rsidRDefault="00FF4187" w:rsidP="00FF4187">
            <w:pPr>
              <w:pStyle w:val="Paragrafoelenco"/>
              <w:numPr>
                <w:ilvl w:val="0"/>
                <w:numId w:val="4"/>
              </w:numPr>
              <w:overflowPunct w:val="0"/>
              <w:autoSpaceDE w:val="0"/>
              <w:spacing w:line="288" w:lineRule="auto"/>
              <w:jc w:val="both"/>
              <w:textAlignment w:val="baseline"/>
              <w:rPr>
                <w:rFonts w:eastAsia="Times New Roman" w:cs="Calibri"/>
                <w:i/>
                <w:iCs/>
                <w:sz w:val="24"/>
                <w:szCs w:val="28"/>
              </w:rPr>
            </w:pPr>
            <w:r w:rsidRPr="00575B95">
              <w:rPr>
                <w:rFonts w:eastAsia="Times New Roman" w:cs="Calibri"/>
                <w:i/>
                <w:iCs/>
                <w:sz w:val="24"/>
                <w:szCs w:val="28"/>
              </w:rPr>
              <w:t>componenti aggiuntivi funzionali all’utilizzo di idrogeno nel settore trasporti</w:t>
            </w:r>
          </w:p>
          <w:p w14:paraId="5126B1C6" w14:textId="77777777" w:rsidR="00FF4187" w:rsidRPr="00575B95" w:rsidRDefault="00FF4187" w:rsidP="00DB6190">
            <w:pPr>
              <w:pStyle w:val="Paragrafoelenco"/>
              <w:overflowPunct w:val="0"/>
              <w:autoSpaceDE w:val="0"/>
              <w:spacing w:line="288" w:lineRule="auto"/>
              <w:ind w:left="0"/>
              <w:jc w:val="both"/>
              <w:textAlignment w:val="baseline"/>
              <w:rPr>
                <w:rFonts w:eastAsia="Times New Roman" w:cs="Calibri"/>
                <w:i/>
                <w:iCs/>
                <w:sz w:val="24"/>
                <w:szCs w:val="28"/>
              </w:rPr>
            </w:pPr>
            <w:r w:rsidRPr="00575B95">
              <w:rPr>
                <w:rFonts w:eastAsia="Times New Roman" w:cs="Calibri"/>
                <w:i/>
                <w:iCs/>
                <w:sz w:val="24"/>
                <w:szCs w:val="28"/>
              </w:rPr>
              <w:t>si ritiene maggiormente rilevante per differenziare le configurazioni alla base dei progetti di riferimento? Fornire indicazioni utili alla definizione dei progetti di riferimento.</w:t>
            </w:r>
          </w:p>
        </w:tc>
      </w:tr>
      <w:tr w:rsidR="00FF4187" w14:paraId="7E09645B" w14:textId="77777777" w:rsidTr="00FF4187">
        <w:tc>
          <w:tcPr>
            <w:tcW w:w="9628" w:type="dxa"/>
          </w:tcPr>
          <w:p w14:paraId="2420166F" w14:textId="77777777" w:rsidR="00FF4187" w:rsidRDefault="00FF4187" w:rsidP="00DB6190">
            <w:pPr>
              <w:spacing w:line="288" w:lineRule="auto"/>
              <w:jc w:val="center"/>
              <w:rPr>
                <w:b/>
                <w:color w:val="0070C0"/>
                <w:sz w:val="28"/>
                <w:szCs w:val="28"/>
              </w:rPr>
            </w:pPr>
          </w:p>
        </w:tc>
      </w:tr>
      <w:tr w:rsidR="00FF4187" w:rsidRPr="00FF4187" w14:paraId="1EA53865" w14:textId="77777777" w:rsidTr="00FF4187">
        <w:tc>
          <w:tcPr>
            <w:tcW w:w="9628" w:type="dxa"/>
            <w:shd w:val="clear" w:color="auto" w:fill="F2F2F2" w:themeFill="background1" w:themeFillShade="F2"/>
          </w:tcPr>
          <w:p w14:paraId="51E022D5" w14:textId="79B8FBA1" w:rsidR="00FF4187" w:rsidRPr="00FF4187" w:rsidRDefault="00FF4187" w:rsidP="00FF4187">
            <w:pPr>
              <w:pStyle w:val="Paragrafoelenco"/>
              <w:overflowPunct w:val="0"/>
              <w:autoSpaceDE w:val="0"/>
              <w:spacing w:line="288" w:lineRule="auto"/>
              <w:ind w:left="0"/>
              <w:jc w:val="both"/>
              <w:textAlignment w:val="baseline"/>
              <w:rPr>
                <w:rFonts w:eastAsia="Times New Roman" w:cs="Calibri"/>
                <w:i/>
                <w:iCs/>
                <w:sz w:val="24"/>
                <w:szCs w:val="28"/>
              </w:rPr>
            </w:pPr>
            <w:r>
              <w:rPr>
                <w:rFonts w:eastAsia="Times New Roman" w:cs="Calibri"/>
                <w:i/>
                <w:iCs/>
                <w:sz w:val="24"/>
                <w:szCs w:val="28"/>
              </w:rPr>
              <w:t xml:space="preserve">Q10. </w:t>
            </w:r>
            <w:r w:rsidRPr="00FF4187">
              <w:rPr>
                <w:rFonts w:eastAsia="Times New Roman" w:cs="Calibri"/>
                <w:i/>
                <w:iCs/>
                <w:sz w:val="24"/>
                <w:szCs w:val="28"/>
              </w:rPr>
              <w:t>Si condivide la metodologia descritta applicabile per la stima della sovvenzione per tonnellata di CO2 equivalente evitata?</w:t>
            </w:r>
          </w:p>
        </w:tc>
      </w:tr>
      <w:tr w:rsidR="00FF4187" w14:paraId="448A0E93" w14:textId="77777777" w:rsidTr="00FF4187">
        <w:tc>
          <w:tcPr>
            <w:tcW w:w="9628" w:type="dxa"/>
          </w:tcPr>
          <w:p w14:paraId="34B2A5A9" w14:textId="77777777" w:rsidR="00FF4187" w:rsidRDefault="00FF4187" w:rsidP="00DB6190">
            <w:pPr>
              <w:spacing w:line="288" w:lineRule="auto"/>
              <w:jc w:val="center"/>
              <w:rPr>
                <w:b/>
                <w:color w:val="0070C0"/>
                <w:sz w:val="28"/>
                <w:szCs w:val="28"/>
              </w:rPr>
            </w:pPr>
          </w:p>
        </w:tc>
      </w:tr>
      <w:tr w:rsidR="00FF4187" w:rsidRPr="00575B95" w14:paraId="67C21BBE" w14:textId="77777777" w:rsidTr="00FF4187">
        <w:tc>
          <w:tcPr>
            <w:tcW w:w="9628" w:type="dxa"/>
            <w:shd w:val="clear" w:color="auto" w:fill="DAE9F7" w:themeFill="text2" w:themeFillTint="1A"/>
          </w:tcPr>
          <w:p w14:paraId="495BF490" w14:textId="77777777" w:rsidR="00FF4187" w:rsidRPr="00575B95" w:rsidRDefault="00FF4187" w:rsidP="00DB6190">
            <w:pPr>
              <w:spacing w:line="288" w:lineRule="auto"/>
              <w:rPr>
                <w:b/>
                <w:sz w:val="24"/>
                <w:szCs w:val="28"/>
              </w:rPr>
            </w:pPr>
            <w:r>
              <w:rPr>
                <w:b/>
                <w:sz w:val="24"/>
                <w:szCs w:val="28"/>
              </w:rPr>
              <w:t xml:space="preserve">8. </w:t>
            </w:r>
            <w:r w:rsidRPr="00575B95">
              <w:rPr>
                <w:b/>
                <w:sz w:val="24"/>
                <w:szCs w:val="28"/>
              </w:rPr>
              <w:t>La procedura ed i criteri di selezione dei progetti</w:t>
            </w:r>
          </w:p>
        </w:tc>
      </w:tr>
      <w:tr w:rsidR="00FF4187" w:rsidRPr="00575B95" w14:paraId="05E98A81" w14:textId="77777777" w:rsidTr="00FF4187">
        <w:tc>
          <w:tcPr>
            <w:tcW w:w="9628" w:type="dxa"/>
            <w:shd w:val="clear" w:color="auto" w:fill="F2F2F2" w:themeFill="background1" w:themeFillShade="F2"/>
          </w:tcPr>
          <w:p w14:paraId="1CAF234A" w14:textId="7B6B5AC8" w:rsidR="00FF4187" w:rsidRPr="00575B95" w:rsidRDefault="00FF4187" w:rsidP="00DB6190">
            <w:pPr>
              <w:pStyle w:val="Paragrafoelenco"/>
              <w:overflowPunct w:val="0"/>
              <w:autoSpaceDE w:val="0"/>
              <w:spacing w:line="288" w:lineRule="auto"/>
              <w:ind w:left="0"/>
              <w:jc w:val="both"/>
              <w:textAlignment w:val="baseline"/>
              <w:rPr>
                <w:rFonts w:eastAsia="Times New Roman" w:cs="Calibri"/>
                <w:i/>
                <w:iCs/>
                <w:sz w:val="24"/>
                <w:szCs w:val="28"/>
              </w:rPr>
            </w:pPr>
            <w:r w:rsidRPr="00575B95">
              <w:rPr>
                <w:rFonts w:eastAsia="Times New Roman" w:cs="Calibri"/>
                <w:i/>
                <w:iCs/>
                <w:sz w:val="24"/>
                <w:szCs w:val="28"/>
              </w:rPr>
              <w:t>Q1</w:t>
            </w:r>
            <w:r>
              <w:rPr>
                <w:rFonts w:eastAsia="Times New Roman" w:cs="Calibri"/>
                <w:i/>
                <w:iCs/>
                <w:sz w:val="24"/>
                <w:szCs w:val="28"/>
              </w:rPr>
              <w:t>1</w:t>
            </w:r>
            <w:r w:rsidRPr="00575B95">
              <w:rPr>
                <w:rFonts w:eastAsia="Times New Roman" w:cs="Calibri"/>
                <w:i/>
                <w:iCs/>
                <w:sz w:val="24"/>
                <w:szCs w:val="28"/>
              </w:rPr>
              <w:t>. Si condividono le proposte di prevedere procedure semestrali, nonché i tempi di apertura dello sportello?</w:t>
            </w:r>
          </w:p>
        </w:tc>
      </w:tr>
      <w:tr w:rsidR="00FF4187" w:rsidRPr="00575B95" w14:paraId="3BDE80C5" w14:textId="77777777" w:rsidTr="00FF4187">
        <w:tc>
          <w:tcPr>
            <w:tcW w:w="9628" w:type="dxa"/>
          </w:tcPr>
          <w:p w14:paraId="6B732850" w14:textId="77777777" w:rsidR="00FF4187" w:rsidRPr="00575B95" w:rsidRDefault="00FF4187" w:rsidP="00DB6190">
            <w:pPr>
              <w:spacing w:line="288" w:lineRule="auto"/>
              <w:jc w:val="center"/>
              <w:rPr>
                <w:rFonts w:eastAsia="Times New Roman" w:cs="Calibri"/>
                <w:i/>
                <w:iCs/>
                <w:sz w:val="24"/>
                <w:szCs w:val="28"/>
              </w:rPr>
            </w:pPr>
          </w:p>
        </w:tc>
      </w:tr>
      <w:tr w:rsidR="00FF4187" w:rsidRPr="00575B95" w14:paraId="092C71B3" w14:textId="77777777" w:rsidTr="00FF4187">
        <w:tc>
          <w:tcPr>
            <w:tcW w:w="9628" w:type="dxa"/>
            <w:shd w:val="clear" w:color="auto" w:fill="F2F2F2" w:themeFill="background1" w:themeFillShade="F2"/>
          </w:tcPr>
          <w:p w14:paraId="61FEDB35" w14:textId="26926B7C" w:rsidR="00FF4187" w:rsidRPr="00575B95" w:rsidRDefault="00FF4187" w:rsidP="00DB6190">
            <w:pPr>
              <w:pStyle w:val="Paragrafoelenco"/>
              <w:overflowPunct w:val="0"/>
              <w:autoSpaceDE w:val="0"/>
              <w:spacing w:line="288" w:lineRule="auto"/>
              <w:ind w:left="0"/>
              <w:jc w:val="both"/>
              <w:textAlignment w:val="baseline"/>
              <w:rPr>
                <w:rFonts w:eastAsia="Times New Roman" w:cs="Calibri"/>
                <w:i/>
                <w:iCs/>
                <w:sz w:val="24"/>
                <w:szCs w:val="28"/>
              </w:rPr>
            </w:pPr>
            <w:r w:rsidRPr="00575B95">
              <w:rPr>
                <w:rFonts w:eastAsia="Times New Roman" w:cs="Calibri"/>
                <w:i/>
                <w:iCs/>
                <w:sz w:val="24"/>
                <w:szCs w:val="28"/>
              </w:rPr>
              <w:t>Q1</w:t>
            </w:r>
            <w:r>
              <w:rPr>
                <w:rFonts w:eastAsia="Times New Roman" w:cs="Calibri"/>
                <w:i/>
                <w:iCs/>
                <w:sz w:val="24"/>
                <w:szCs w:val="28"/>
              </w:rPr>
              <w:t>2</w:t>
            </w:r>
            <w:r w:rsidRPr="00575B95">
              <w:rPr>
                <w:rFonts w:eastAsia="Times New Roman" w:cs="Calibri"/>
                <w:i/>
                <w:iCs/>
                <w:sz w:val="24"/>
                <w:szCs w:val="28"/>
              </w:rPr>
              <w:t>. Si condivide la procedura per la fase di selezione delle proposte e la definizione di una causale per il mancato rispetto dei termini per l’entrata in esercizio dell’impianto?</w:t>
            </w:r>
          </w:p>
        </w:tc>
      </w:tr>
      <w:tr w:rsidR="00FF4187" w:rsidRPr="00575B95" w14:paraId="28B74D47" w14:textId="77777777" w:rsidTr="00FF4187">
        <w:tc>
          <w:tcPr>
            <w:tcW w:w="9628" w:type="dxa"/>
            <w:shd w:val="clear" w:color="auto" w:fill="FFFFFF" w:themeFill="background1"/>
          </w:tcPr>
          <w:p w14:paraId="091293A8" w14:textId="77777777" w:rsidR="00FF4187" w:rsidRPr="00575B95" w:rsidRDefault="00FF4187" w:rsidP="00DB6190">
            <w:pPr>
              <w:pStyle w:val="Paragrafoelenco"/>
              <w:overflowPunct w:val="0"/>
              <w:autoSpaceDE w:val="0"/>
              <w:spacing w:line="288" w:lineRule="auto"/>
              <w:ind w:left="0"/>
              <w:jc w:val="both"/>
              <w:textAlignment w:val="baseline"/>
              <w:rPr>
                <w:rFonts w:eastAsia="Times New Roman" w:cs="Calibri"/>
                <w:i/>
                <w:iCs/>
                <w:sz w:val="24"/>
                <w:szCs w:val="28"/>
              </w:rPr>
            </w:pPr>
          </w:p>
        </w:tc>
      </w:tr>
      <w:tr w:rsidR="00FF4187" w:rsidRPr="00575B95" w14:paraId="2CB28587" w14:textId="77777777" w:rsidTr="00FF4187">
        <w:tc>
          <w:tcPr>
            <w:tcW w:w="9628" w:type="dxa"/>
            <w:shd w:val="clear" w:color="auto" w:fill="DAE9F7" w:themeFill="text2" w:themeFillTint="1A"/>
          </w:tcPr>
          <w:p w14:paraId="1B1C6DF1" w14:textId="77777777" w:rsidR="00FF4187" w:rsidRPr="00575B95" w:rsidRDefault="00FF4187" w:rsidP="00DB6190">
            <w:pPr>
              <w:spacing w:line="288" w:lineRule="auto"/>
              <w:rPr>
                <w:b/>
                <w:sz w:val="24"/>
                <w:szCs w:val="28"/>
              </w:rPr>
            </w:pPr>
            <w:r w:rsidRPr="00575B95">
              <w:rPr>
                <w:b/>
                <w:sz w:val="24"/>
                <w:szCs w:val="28"/>
              </w:rPr>
              <w:t>9. Struttura dell’incentivo spettante: il contratto per differenza a due vie</w:t>
            </w:r>
          </w:p>
        </w:tc>
      </w:tr>
      <w:tr w:rsidR="00FF4187" w:rsidRPr="00575B95" w14:paraId="7B5BC53D" w14:textId="77777777" w:rsidTr="00FF4187">
        <w:tc>
          <w:tcPr>
            <w:tcW w:w="9628" w:type="dxa"/>
            <w:shd w:val="clear" w:color="auto" w:fill="F2F2F2" w:themeFill="background1" w:themeFillShade="F2"/>
          </w:tcPr>
          <w:p w14:paraId="57B950C0" w14:textId="548FC9E8" w:rsidR="00FF4187" w:rsidRPr="00575B95" w:rsidRDefault="00FF4187" w:rsidP="00DB6190">
            <w:pPr>
              <w:pStyle w:val="Paragrafoelenco"/>
              <w:overflowPunct w:val="0"/>
              <w:autoSpaceDE w:val="0"/>
              <w:spacing w:line="288" w:lineRule="auto"/>
              <w:ind w:left="0"/>
              <w:jc w:val="both"/>
              <w:textAlignment w:val="baseline"/>
              <w:rPr>
                <w:rFonts w:eastAsia="Times New Roman" w:cs="Calibri"/>
                <w:i/>
                <w:iCs/>
                <w:sz w:val="24"/>
                <w:szCs w:val="28"/>
              </w:rPr>
            </w:pPr>
            <w:r w:rsidRPr="00575B95">
              <w:rPr>
                <w:rFonts w:eastAsia="Times New Roman" w:cs="Calibri"/>
                <w:i/>
                <w:iCs/>
                <w:sz w:val="24"/>
                <w:szCs w:val="28"/>
              </w:rPr>
              <w:t>Q1</w:t>
            </w:r>
            <w:r>
              <w:rPr>
                <w:rFonts w:eastAsia="Times New Roman" w:cs="Calibri"/>
                <w:i/>
                <w:iCs/>
                <w:sz w:val="24"/>
                <w:szCs w:val="28"/>
              </w:rPr>
              <w:t>3</w:t>
            </w:r>
            <w:r w:rsidRPr="00575B95">
              <w:rPr>
                <w:rFonts w:eastAsia="Times New Roman" w:cs="Calibri"/>
                <w:i/>
                <w:iCs/>
                <w:sz w:val="24"/>
                <w:szCs w:val="28"/>
              </w:rPr>
              <w:t>. Si condividono i parametri proposti per la determinazione dell’incentivo e gli indicatori per la determinazione del prezzo dei combustibili sostituiti?</w:t>
            </w:r>
          </w:p>
        </w:tc>
      </w:tr>
      <w:tr w:rsidR="00FF4187" w:rsidRPr="00575B95" w14:paraId="539A6FE8" w14:textId="77777777" w:rsidTr="00FF4187">
        <w:tc>
          <w:tcPr>
            <w:tcW w:w="9628" w:type="dxa"/>
            <w:shd w:val="clear" w:color="auto" w:fill="FFFFFF" w:themeFill="background1"/>
          </w:tcPr>
          <w:p w14:paraId="0AAAC028" w14:textId="77777777" w:rsidR="00FF4187" w:rsidRPr="00575B95" w:rsidRDefault="00FF4187" w:rsidP="00DB6190">
            <w:pPr>
              <w:pStyle w:val="Paragrafoelenco"/>
              <w:overflowPunct w:val="0"/>
              <w:autoSpaceDE w:val="0"/>
              <w:spacing w:line="288" w:lineRule="auto"/>
              <w:ind w:left="0"/>
              <w:jc w:val="both"/>
              <w:textAlignment w:val="baseline"/>
              <w:rPr>
                <w:rFonts w:eastAsia="Times New Roman" w:cs="Calibri"/>
                <w:i/>
                <w:iCs/>
                <w:sz w:val="24"/>
                <w:szCs w:val="28"/>
              </w:rPr>
            </w:pPr>
          </w:p>
        </w:tc>
      </w:tr>
      <w:tr w:rsidR="00FF4187" w:rsidRPr="00575B95" w14:paraId="0A0DF582" w14:textId="77777777" w:rsidTr="00FF4187">
        <w:tc>
          <w:tcPr>
            <w:tcW w:w="9628" w:type="dxa"/>
            <w:shd w:val="clear" w:color="auto" w:fill="F2F2F2" w:themeFill="background1" w:themeFillShade="F2"/>
          </w:tcPr>
          <w:p w14:paraId="66C40C04" w14:textId="11663F10" w:rsidR="00FF4187" w:rsidRPr="00575B95" w:rsidRDefault="00FF4187" w:rsidP="00DB6190">
            <w:pPr>
              <w:pStyle w:val="Paragrafoelenco"/>
              <w:spacing w:after="160"/>
              <w:ind w:left="0"/>
              <w:jc w:val="both"/>
              <w:rPr>
                <w:rFonts w:eastAsia="Times New Roman" w:cs="Calibri"/>
                <w:i/>
                <w:iCs/>
                <w:sz w:val="24"/>
                <w:szCs w:val="28"/>
              </w:rPr>
            </w:pPr>
            <w:r w:rsidRPr="00575B95">
              <w:rPr>
                <w:rFonts w:eastAsia="Times New Roman" w:cs="Calibri"/>
                <w:i/>
                <w:iCs/>
                <w:sz w:val="24"/>
                <w:szCs w:val="28"/>
              </w:rPr>
              <w:t>Q1</w:t>
            </w:r>
            <w:r>
              <w:rPr>
                <w:rFonts w:eastAsia="Times New Roman" w:cs="Calibri"/>
                <w:i/>
                <w:iCs/>
                <w:sz w:val="24"/>
                <w:szCs w:val="28"/>
              </w:rPr>
              <w:t>4</w:t>
            </w:r>
            <w:r w:rsidRPr="00575B95">
              <w:rPr>
                <w:rFonts w:eastAsia="Times New Roman" w:cs="Calibri"/>
                <w:i/>
                <w:iCs/>
                <w:sz w:val="24"/>
                <w:szCs w:val="28"/>
              </w:rPr>
              <w:t>. Si ritiene opportuno aggiornare il prezzo di aggiudicazione tenendo conto delle dinamiche inflattive?</w:t>
            </w:r>
          </w:p>
        </w:tc>
      </w:tr>
      <w:tr w:rsidR="00FF4187" w:rsidRPr="00575B95" w14:paraId="3CF2A200" w14:textId="77777777" w:rsidTr="00FF4187">
        <w:tc>
          <w:tcPr>
            <w:tcW w:w="9628" w:type="dxa"/>
            <w:shd w:val="clear" w:color="auto" w:fill="FFFFFF" w:themeFill="background1"/>
          </w:tcPr>
          <w:p w14:paraId="54903FF6" w14:textId="77777777" w:rsidR="00FF4187" w:rsidRPr="00575B95" w:rsidRDefault="00FF4187" w:rsidP="00DB6190">
            <w:pPr>
              <w:pStyle w:val="Paragrafoelenco"/>
              <w:jc w:val="both"/>
              <w:rPr>
                <w:rFonts w:eastAsia="Times New Roman" w:cs="Calibri"/>
                <w:i/>
                <w:iCs/>
                <w:sz w:val="24"/>
                <w:szCs w:val="28"/>
              </w:rPr>
            </w:pPr>
          </w:p>
        </w:tc>
      </w:tr>
      <w:tr w:rsidR="00FF4187" w:rsidRPr="00575B95" w14:paraId="2F4EC61E" w14:textId="77777777" w:rsidTr="00FF4187">
        <w:tc>
          <w:tcPr>
            <w:tcW w:w="9628" w:type="dxa"/>
            <w:shd w:val="clear" w:color="auto" w:fill="F2F2F2" w:themeFill="background1" w:themeFillShade="F2"/>
          </w:tcPr>
          <w:p w14:paraId="433DA77A" w14:textId="57BAAA86" w:rsidR="00FF4187" w:rsidRPr="00575B95" w:rsidRDefault="00FF4187" w:rsidP="00DB6190">
            <w:pPr>
              <w:pStyle w:val="Paragrafoelenco"/>
              <w:ind w:left="0"/>
              <w:jc w:val="both"/>
              <w:rPr>
                <w:rFonts w:eastAsia="Times New Roman" w:cs="Calibri"/>
                <w:i/>
                <w:iCs/>
                <w:sz w:val="24"/>
                <w:szCs w:val="28"/>
              </w:rPr>
            </w:pPr>
            <w:r w:rsidRPr="00575B95">
              <w:rPr>
                <w:rFonts w:eastAsia="Times New Roman" w:cs="Calibri"/>
                <w:i/>
                <w:iCs/>
                <w:sz w:val="24"/>
                <w:szCs w:val="28"/>
              </w:rPr>
              <w:t>Q1</w:t>
            </w:r>
            <w:r>
              <w:rPr>
                <w:rFonts w:eastAsia="Times New Roman" w:cs="Calibri"/>
                <w:i/>
                <w:iCs/>
                <w:sz w:val="24"/>
                <w:szCs w:val="28"/>
              </w:rPr>
              <w:t>5</w:t>
            </w:r>
            <w:r w:rsidRPr="00575B95">
              <w:rPr>
                <w:rFonts w:eastAsia="Times New Roman" w:cs="Calibri"/>
                <w:i/>
                <w:iCs/>
                <w:sz w:val="24"/>
                <w:szCs w:val="28"/>
              </w:rPr>
              <w:t>. Si condivide l’ipotesi di gestione dei casi di soggetti proponenti che prevedono di vendere idrogeno a clienti finali afferenti a diversi contingenti e sub-contingenti, o dei casi di cambio del settore di destinazione d’uso? In caso negativo, proporre una soluzione alternativa.</w:t>
            </w:r>
          </w:p>
        </w:tc>
      </w:tr>
      <w:tr w:rsidR="00FF4187" w:rsidRPr="00575B95" w14:paraId="08E70559" w14:textId="77777777" w:rsidTr="00FF4187">
        <w:tc>
          <w:tcPr>
            <w:tcW w:w="9628" w:type="dxa"/>
            <w:shd w:val="clear" w:color="auto" w:fill="FFFFFF" w:themeFill="background1"/>
          </w:tcPr>
          <w:p w14:paraId="7C133BB8" w14:textId="77777777" w:rsidR="00FF4187" w:rsidRPr="00575B95" w:rsidRDefault="00FF4187" w:rsidP="00DB6190">
            <w:pPr>
              <w:pStyle w:val="Paragrafoelenco"/>
              <w:ind w:left="0"/>
              <w:jc w:val="both"/>
              <w:rPr>
                <w:rFonts w:eastAsia="Times New Roman" w:cs="Calibri"/>
                <w:i/>
                <w:iCs/>
                <w:sz w:val="24"/>
                <w:szCs w:val="28"/>
              </w:rPr>
            </w:pPr>
          </w:p>
        </w:tc>
      </w:tr>
      <w:tr w:rsidR="00FF4187" w:rsidRPr="00575B95" w14:paraId="16C9175C" w14:textId="77777777" w:rsidTr="00FF4187">
        <w:tc>
          <w:tcPr>
            <w:tcW w:w="9628" w:type="dxa"/>
            <w:shd w:val="clear" w:color="auto" w:fill="F2F2F2" w:themeFill="background1" w:themeFillShade="F2"/>
          </w:tcPr>
          <w:p w14:paraId="21C4D26B" w14:textId="60ECCAF1" w:rsidR="00FF4187" w:rsidRPr="00575B95" w:rsidRDefault="00FF4187" w:rsidP="00DB6190">
            <w:pPr>
              <w:pStyle w:val="Paragrafoelenco"/>
              <w:ind w:left="0"/>
              <w:jc w:val="both"/>
              <w:rPr>
                <w:rFonts w:eastAsia="Times New Roman" w:cs="Calibri"/>
                <w:i/>
                <w:iCs/>
                <w:sz w:val="24"/>
                <w:szCs w:val="28"/>
              </w:rPr>
            </w:pPr>
            <w:r w:rsidRPr="00575B95">
              <w:rPr>
                <w:rFonts w:eastAsia="Times New Roman" w:cs="Calibri"/>
                <w:i/>
                <w:iCs/>
                <w:sz w:val="24"/>
                <w:szCs w:val="28"/>
              </w:rPr>
              <w:t>Q1</w:t>
            </w:r>
            <w:r>
              <w:rPr>
                <w:rFonts w:eastAsia="Times New Roman" w:cs="Calibri"/>
                <w:i/>
                <w:iCs/>
                <w:sz w:val="24"/>
                <w:szCs w:val="28"/>
              </w:rPr>
              <w:t>6</w:t>
            </w:r>
            <w:r w:rsidRPr="00575B95">
              <w:rPr>
                <w:rFonts w:eastAsia="Times New Roman" w:cs="Calibri"/>
                <w:i/>
                <w:iCs/>
                <w:sz w:val="24"/>
                <w:szCs w:val="28"/>
              </w:rPr>
              <w:t>. Si condividono i dati ripotati in tabella circa il “valore massimo” per l’incentivo spettante? Motivare la risposta anche sotto il profilo economico in relazione alle varie configurazioni indicate in tabella</w:t>
            </w:r>
          </w:p>
        </w:tc>
      </w:tr>
      <w:tr w:rsidR="00FF4187" w:rsidRPr="00575B95" w14:paraId="653122EE" w14:textId="77777777" w:rsidTr="00FF4187">
        <w:tc>
          <w:tcPr>
            <w:tcW w:w="9628" w:type="dxa"/>
            <w:shd w:val="clear" w:color="auto" w:fill="FFFFFF" w:themeFill="background1"/>
          </w:tcPr>
          <w:p w14:paraId="3B91D8A6" w14:textId="77777777" w:rsidR="00FF4187" w:rsidRPr="00575B95" w:rsidRDefault="00FF4187" w:rsidP="00DB6190">
            <w:pPr>
              <w:pStyle w:val="Paragrafoelenco"/>
              <w:ind w:left="0"/>
              <w:jc w:val="both"/>
              <w:rPr>
                <w:rFonts w:eastAsia="Times New Roman" w:cs="Calibri"/>
                <w:i/>
                <w:iCs/>
                <w:sz w:val="24"/>
                <w:szCs w:val="28"/>
              </w:rPr>
            </w:pPr>
          </w:p>
        </w:tc>
      </w:tr>
      <w:tr w:rsidR="00FF4187" w:rsidRPr="00575B95" w14:paraId="4C3F451F" w14:textId="77777777" w:rsidTr="00FF4187">
        <w:tc>
          <w:tcPr>
            <w:tcW w:w="9628" w:type="dxa"/>
            <w:shd w:val="clear" w:color="auto" w:fill="DAE9F7" w:themeFill="text2" w:themeFillTint="1A"/>
          </w:tcPr>
          <w:p w14:paraId="2916015E" w14:textId="77777777" w:rsidR="00FF4187" w:rsidRPr="00575B95" w:rsidRDefault="00FF4187" w:rsidP="00DB6190">
            <w:pPr>
              <w:spacing w:line="288" w:lineRule="auto"/>
              <w:rPr>
                <w:b/>
                <w:sz w:val="24"/>
                <w:szCs w:val="28"/>
              </w:rPr>
            </w:pPr>
            <w:r w:rsidRPr="00575B95">
              <w:rPr>
                <w:b/>
                <w:sz w:val="24"/>
                <w:szCs w:val="28"/>
              </w:rPr>
              <w:t>10. Determinazione dell’incentivo spettante</w:t>
            </w:r>
          </w:p>
        </w:tc>
      </w:tr>
      <w:tr w:rsidR="00FF4187" w:rsidRPr="00575B95" w14:paraId="16405A00" w14:textId="77777777" w:rsidTr="00FF4187">
        <w:tc>
          <w:tcPr>
            <w:tcW w:w="9628" w:type="dxa"/>
            <w:shd w:val="clear" w:color="auto" w:fill="F2F2F2" w:themeFill="background1" w:themeFillShade="F2"/>
          </w:tcPr>
          <w:p w14:paraId="324B852A" w14:textId="6633CE1B" w:rsidR="00FF4187" w:rsidRPr="00575B95" w:rsidRDefault="00FF4187" w:rsidP="00DB6190">
            <w:pPr>
              <w:pStyle w:val="Paragrafoelenco"/>
              <w:ind w:left="0"/>
              <w:jc w:val="both"/>
              <w:rPr>
                <w:rFonts w:eastAsia="Times New Roman" w:cs="Calibri"/>
                <w:i/>
                <w:iCs/>
                <w:sz w:val="24"/>
                <w:szCs w:val="28"/>
              </w:rPr>
            </w:pPr>
            <w:r w:rsidRPr="00575B95">
              <w:rPr>
                <w:rFonts w:eastAsia="Times New Roman" w:cs="Calibri"/>
                <w:i/>
                <w:iCs/>
                <w:sz w:val="24"/>
                <w:szCs w:val="28"/>
              </w:rPr>
              <w:t>Q1</w:t>
            </w:r>
            <w:r>
              <w:rPr>
                <w:rFonts w:eastAsia="Times New Roman" w:cs="Calibri"/>
                <w:i/>
                <w:iCs/>
                <w:sz w:val="24"/>
                <w:szCs w:val="28"/>
              </w:rPr>
              <w:t>7</w:t>
            </w:r>
            <w:r w:rsidRPr="00575B95">
              <w:rPr>
                <w:rFonts w:eastAsia="Times New Roman" w:cs="Calibri"/>
                <w:i/>
                <w:iCs/>
                <w:sz w:val="24"/>
                <w:szCs w:val="28"/>
              </w:rPr>
              <w:t>. Si condividono le ipotesi per la gestione della misura dell’idrogeno prodotto, del calcolo dell’energia netta prodotta associata all’idrogeno e della determinazione dei consumi ausiliari?</w:t>
            </w:r>
          </w:p>
        </w:tc>
      </w:tr>
      <w:tr w:rsidR="00FF4187" w:rsidRPr="00575B95" w14:paraId="76239E80" w14:textId="77777777" w:rsidTr="00FF4187">
        <w:tc>
          <w:tcPr>
            <w:tcW w:w="9628" w:type="dxa"/>
            <w:shd w:val="clear" w:color="auto" w:fill="FFFFFF" w:themeFill="background1"/>
          </w:tcPr>
          <w:p w14:paraId="3DC97F40" w14:textId="77777777" w:rsidR="00FF4187" w:rsidRPr="00575B95" w:rsidRDefault="00FF4187" w:rsidP="00DB6190">
            <w:pPr>
              <w:pStyle w:val="Paragrafoelenco"/>
              <w:ind w:left="0"/>
              <w:jc w:val="both"/>
              <w:rPr>
                <w:rFonts w:eastAsia="Times New Roman" w:cs="Calibri"/>
                <w:i/>
                <w:iCs/>
                <w:sz w:val="24"/>
                <w:szCs w:val="28"/>
              </w:rPr>
            </w:pPr>
          </w:p>
        </w:tc>
      </w:tr>
      <w:tr w:rsidR="00FF4187" w:rsidRPr="00575B95" w14:paraId="2C7D4CD0" w14:textId="77777777" w:rsidTr="00FF4187">
        <w:tc>
          <w:tcPr>
            <w:tcW w:w="9628" w:type="dxa"/>
            <w:shd w:val="clear" w:color="auto" w:fill="DAE9F7" w:themeFill="text2" w:themeFillTint="1A"/>
          </w:tcPr>
          <w:p w14:paraId="4F84960D" w14:textId="77777777" w:rsidR="00FF4187" w:rsidRPr="00575B95" w:rsidRDefault="00FF4187" w:rsidP="00DB6190">
            <w:pPr>
              <w:spacing w:line="288" w:lineRule="auto"/>
              <w:rPr>
                <w:b/>
                <w:sz w:val="24"/>
                <w:szCs w:val="28"/>
              </w:rPr>
            </w:pPr>
            <w:r w:rsidRPr="00575B95">
              <w:rPr>
                <w:b/>
                <w:sz w:val="24"/>
                <w:szCs w:val="28"/>
              </w:rPr>
              <w:t>11. Obblighi dei soggetti beneficiari</w:t>
            </w:r>
          </w:p>
        </w:tc>
      </w:tr>
      <w:tr w:rsidR="00FF4187" w:rsidRPr="00575B95" w14:paraId="21F0D0A9" w14:textId="77777777" w:rsidTr="00FF4187">
        <w:tc>
          <w:tcPr>
            <w:tcW w:w="9628" w:type="dxa"/>
            <w:shd w:val="clear" w:color="auto" w:fill="F2F2F2" w:themeFill="background1" w:themeFillShade="F2"/>
          </w:tcPr>
          <w:p w14:paraId="5DF8841A" w14:textId="225A1D5C" w:rsidR="00FF4187" w:rsidRPr="00575B95" w:rsidRDefault="00FF4187" w:rsidP="00DB6190">
            <w:pPr>
              <w:pStyle w:val="Paragrafoelenco"/>
              <w:ind w:left="0"/>
              <w:jc w:val="both"/>
              <w:rPr>
                <w:rFonts w:eastAsia="Times New Roman" w:cs="Calibri"/>
                <w:i/>
                <w:iCs/>
                <w:sz w:val="24"/>
                <w:szCs w:val="28"/>
              </w:rPr>
            </w:pPr>
            <w:r w:rsidRPr="00575B95">
              <w:rPr>
                <w:rFonts w:eastAsia="Times New Roman" w:cs="Calibri"/>
                <w:i/>
                <w:iCs/>
                <w:sz w:val="24"/>
                <w:szCs w:val="28"/>
              </w:rPr>
              <w:t>Q1</w:t>
            </w:r>
            <w:r>
              <w:rPr>
                <w:rFonts w:eastAsia="Times New Roman" w:cs="Calibri"/>
                <w:i/>
                <w:iCs/>
                <w:sz w:val="24"/>
                <w:szCs w:val="28"/>
              </w:rPr>
              <w:t>8</w:t>
            </w:r>
            <w:r w:rsidRPr="00575B95">
              <w:rPr>
                <w:rFonts w:eastAsia="Times New Roman" w:cs="Calibri"/>
                <w:i/>
                <w:iCs/>
                <w:sz w:val="24"/>
                <w:szCs w:val="28"/>
              </w:rPr>
              <w:t>. Si condividono gli obblighi in capo al soggetto beneficiario?</w:t>
            </w:r>
          </w:p>
        </w:tc>
      </w:tr>
      <w:tr w:rsidR="00FF4187" w:rsidRPr="00575B95" w14:paraId="3C775B55" w14:textId="77777777" w:rsidTr="00FF4187">
        <w:tc>
          <w:tcPr>
            <w:tcW w:w="9628" w:type="dxa"/>
            <w:shd w:val="clear" w:color="auto" w:fill="FFFFFF" w:themeFill="background1"/>
          </w:tcPr>
          <w:p w14:paraId="2E81967F" w14:textId="77777777" w:rsidR="00FF4187" w:rsidRPr="00575B95" w:rsidRDefault="00FF4187" w:rsidP="00DB6190">
            <w:pPr>
              <w:pStyle w:val="Paragrafoelenco"/>
              <w:ind w:left="0"/>
              <w:jc w:val="both"/>
              <w:rPr>
                <w:rFonts w:eastAsia="Times New Roman" w:cs="Calibri"/>
                <w:i/>
                <w:iCs/>
                <w:sz w:val="24"/>
                <w:szCs w:val="28"/>
              </w:rPr>
            </w:pPr>
          </w:p>
        </w:tc>
      </w:tr>
      <w:tr w:rsidR="00FF4187" w:rsidRPr="00575B95" w14:paraId="39E2D4F1" w14:textId="77777777" w:rsidTr="00FF4187">
        <w:tc>
          <w:tcPr>
            <w:tcW w:w="9628" w:type="dxa"/>
            <w:shd w:val="clear" w:color="auto" w:fill="DAE9F7" w:themeFill="text2" w:themeFillTint="1A"/>
          </w:tcPr>
          <w:p w14:paraId="49F79383" w14:textId="77777777" w:rsidR="00FF4187" w:rsidRPr="00575B95" w:rsidRDefault="00FF4187" w:rsidP="00DB6190">
            <w:pPr>
              <w:spacing w:line="288" w:lineRule="auto"/>
              <w:rPr>
                <w:b/>
                <w:sz w:val="24"/>
                <w:szCs w:val="28"/>
              </w:rPr>
            </w:pPr>
            <w:r w:rsidRPr="00575B95">
              <w:rPr>
                <w:b/>
                <w:sz w:val="24"/>
                <w:szCs w:val="28"/>
              </w:rPr>
              <w:t>12. Agevolazioni di cui al decreto ministeriale 21 settembre 2022 n. 347</w:t>
            </w:r>
          </w:p>
        </w:tc>
      </w:tr>
      <w:tr w:rsidR="00FF4187" w:rsidRPr="00575B95" w14:paraId="56B316EC" w14:textId="77777777" w:rsidTr="00FF4187">
        <w:tc>
          <w:tcPr>
            <w:tcW w:w="9628" w:type="dxa"/>
            <w:shd w:val="clear" w:color="auto" w:fill="F2F2F2" w:themeFill="background1" w:themeFillShade="F2"/>
          </w:tcPr>
          <w:p w14:paraId="4E0FFEE9" w14:textId="05491B44" w:rsidR="00FF4187" w:rsidRPr="00575B95" w:rsidRDefault="00FF4187" w:rsidP="00DB6190">
            <w:pPr>
              <w:pStyle w:val="Paragrafoelenco"/>
              <w:ind w:left="0"/>
              <w:jc w:val="both"/>
              <w:rPr>
                <w:rFonts w:eastAsia="Times New Roman" w:cs="Calibri"/>
                <w:i/>
                <w:iCs/>
                <w:sz w:val="24"/>
                <w:szCs w:val="28"/>
              </w:rPr>
            </w:pPr>
            <w:r w:rsidRPr="00575B95">
              <w:rPr>
                <w:rFonts w:eastAsia="Times New Roman" w:cs="Calibri"/>
                <w:i/>
                <w:iCs/>
                <w:sz w:val="24"/>
                <w:szCs w:val="28"/>
              </w:rPr>
              <w:t>Q1</w:t>
            </w:r>
            <w:r>
              <w:rPr>
                <w:rFonts w:eastAsia="Times New Roman" w:cs="Calibri"/>
                <w:i/>
                <w:iCs/>
                <w:sz w:val="24"/>
                <w:szCs w:val="28"/>
              </w:rPr>
              <w:t>9</w:t>
            </w:r>
            <w:r w:rsidRPr="00575B95">
              <w:rPr>
                <w:rFonts w:eastAsia="Times New Roman" w:cs="Calibri"/>
                <w:i/>
                <w:iCs/>
                <w:sz w:val="24"/>
                <w:szCs w:val="28"/>
              </w:rPr>
              <w:t>. Si condivide la possibilità che la procedura per la richiesta delle agevolazioni di cui al DM 347/2021 possa avvenire esclusivamente insieme all’istanza di accesso al meccanismo incentivante in questione? Motivare la risposta.</w:t>
            </w:r>
          </w:p>
        </w:tc>
      </w:tr>
      <w:tr w:rsidR="00FF4187" w:rsidRPr="00575B95" w14:paraId="5751FE15" w14:textId="77777777" w:rsidTr="00FF4187">
        <w:tc>
          <w:tcPr>
            <w:tcW w:w="9628" w:type="dxa"/>
            <w:shd w:val="clear" w:color="auto" w:fill="FFFFFF" w:themeFill="background1"/>
          </w:tcPr>
          <w:p w14:paraId="2F833340" w14:textId="77777777" w:rsidR="00FF4187" w:rsidRPr="00FE2369" w:rsidRDefault="00FF4187" w:rsidP="00DB6190">
            <w:pPr>
              <w:pStyle w:val="Paragrafoelenco"/>
              <w:ind w:left="0"/>
              <w:jc w:val="both"/>
              <w:rPr>
                <w:rFonts w:eastAsia="Times New Roman" w:cs="Calibri"/>
                <w:i/>
                <w:iCs/>
                <w:color w:val="595959"/>
                <w:sz w:val="24"/>
                <w:szCs w:val="28"/>
              </w:rPr>
            </w:pPr>
          </w:p>
        </w:tc>
      </w:tr>
      <w:bookmarkEnd w:id="3"/>
    </w:tbl>
    <w:p w14:paraId="121ADD45" w14:textId="77777777" w:rsidR="006A3B8D" w:rsidRDefault="006A3B8D"/>
    <w:sectPr w:rsidR="006A3B8D">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1236E6" w14:textId="77777777" w:rsidR="00A633AC" w:rsidRDefault="00A633AC" w:rsidP="00FF4187">
      <w:pPr>
        <w:spacing w:after="0" w:line="240" w:lineRule="auto"/>
      </w:pPr>
      <w:r>
        <w:separator/>
      </w:r>
    </w:p>
  </w:endnote>
  <w:endnote w:type="continuationSeparator" w:id="0">
    <w:p w14:paraId="1E26343A" w14:textId="77777777" w:rsidR="00A633AC" w:rsidRDefault="00A633AC" w:rsidP="00FF41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8865915"/>
      <w:docPartObj>
        <w:docPartGallery w:val="Page Numbers (Bottom of Page)"/>
        <w:docPartUnique/>
      </w:docPartObj>
    </w:sdtPr>
    <w:sdtEndPr/>
    <w:sdtContent>
      <w:sdt>
        <w:sdtPr>
          <w:id w:val="-1769616900"/>
          <w:docPartObj>
            <w:docPartGallery w:val="Page Numbers (Top of Page)"/>
            <w:docPartUnique/>
          </w:docPartObj>
        </w:sdtPr>
        <w:sdtEndPr/>
        <w:sdtContent>
          <w:p w14:paraId="3EF00F2D" w14:textId="7E4EB637" w:rsidR="00FF4187" w:rsidRDefault="00FF4187">
            <w:pPr>
              <w:pStyle w:val="Pidipagina"/>
              <w:jc w:val="right"/>
            </w:pPr>
            <w:r>
              <w:t xml:space="preserve">Pag.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a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161DDBF8" w14:textId="77777777" w:rsidR="00FF4187" w:rsidRDefault="00FF418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12BB6A" w14:textId="77777777" w:rsidR="00A633AC" w:rsidRDefault="00A633AC" w:rsidP="00FF4187">
      <w:pPr>
        <w:spacing w:after="0" w:line="240" w:lineRule="auto"/>
      </w:pPr>
      <w:r>
        <w:separator/>
      </w:r>
    </w:p>
  </w:footnote>
  <w:footnote w:type="continuationSeparator" w:id="0">
    <w:p w14:paraId="04EFC652" w14:textId="77777777" w:rsidR="00A633AC" w:rsidRDefault="00A633AC" w:rsidP="00FF41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A4341"/>
    <w:multiLevelType w:val="hybridMultilevel"/>
    <w:tmpl w:val="55B0B3C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1E64EA2"/>
    <w:multiLevelType w:val="multilevel"/>
    <w:tmpl w:val="2304BA20"/>
    <w:lvl w:ilvl="0">
      <w:start w:val="1"/>
      <w:numFmt w:val="lowerLetter"/>
      <w:lvlText w:val="%1)"/>
      <w:lvlJc w:val="left"/>
      <w:pPr>
        <w:ind w:left="831" w:hanging="360"/>
      </w:pPr>
      <w:rPr>
        <w:b/>
        <w:i w:val="0"/>
        <w:color w:val="595959"/>
      </w:rPr>
    </w:lvl>
    <w:lvl w:ilvl="1">
      <w:start w:val="1"/>
      <w:numFmt w:val="lowerLetter"/>
      <w:lvlText w:val="%2."/>
      <w:lvlJc w:val="left"/>
      <w:pPr>
        <w:ind w:left="1551" w:hanging="360"/>
      </w:pPr>
    </w:lvl>
    <w:lvl w:ilvl="2">
      <w:start w:val="1"/>
      <w:numFmt w:val="lowerRoman"/>
      <w:lvlText w:val="%3."/>
      <w:lvlJc w:val="right"/>
      <w:pPr>
        <w:ind w:left="2271" w:hanging="180"/>
      </w:pPr>
    </w:lvl>
    <w:lvl w:ilvl="3">
      <w:start w:val="1"/>
      <w:numFmt w:val="decimal"/>
      <w:lvlText w:val="%4."/>
      <w:lvlJc w:val="left"/>
      <w:pPr>
        <w:ind w:left="2991" w:hanging="360"/>
      </w:pPr>
    </w:lvl>
    <w:lvl w:ilvl="4">
      <w:start w:val="1"/>
      <w:numFmt w:val="lowerLetter"/>
      <w:lvlText w:val="%5."/>
      <w:lvlJc w:val="left"/>
      <w:pPr>
        <w:ind w:left="3711" w:hanging="360"/>
      </w:pPr>
    </w:lvl>
    <w:lvl w:ilvl="5">
      <w:start w:val="1"/>
      <w:numFmt w:val="lowerRoman"/>
      <w:lvlText w:val="%6."/>
      <w:lvlJc w:val="right"/>
      <w:pPr>
        <w:ind w:left="4431" w:hanging="180"/>
      </w:pPr>
    </w:lvl>
    <w:lvl w:ilvl="6">
      <w:start w:val="1"/>
      <w:numFmt w:val="decimal"/>
      <w:lvlText w:val="%7."/>
      <w:lvlJc w:val="left"/>
      <w:pPr>
        <w:ind w:left="5151" w:hanging="360"/>
      </w:pPr>
    </w:lvl>
    <w:lvl w:ilvl="7">
      <w:start w:val="1"/>
      <w:numFmt w:val="lowerLetter"/>
      <w:lvlText w:val="%8."/>
      <w:lvlJc w:val="left"/>
      <w:pPr>
        <w:ind w:left="5871" w:hanging="360"/>
      </w:pPr>
    </w:lvl>
    <w:lvl w:ilvl="8">
      <w:start w:val="1"/>
      <w:numFmt w:val="lowerRoman"/>
      <w:lvlText w:val="%9."/>
      <w:lvlJc w:val="right"/>
      <w:pPr>
        <w:ind w:left="6591" w:hanging="180"/>
      </w:pPr>
    </w:lvl>
  </w:abstractNum>
  <w:abstractNum w:abstractNumId="2" w15:restartNumberingAfterBreak="0">
    <w:nsid w:val="5AD036A0"/>
    <w:multiLevelType w:val="hybridMultilevel"/>
    <w:tmpl w:val="8E58421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5D461987"/>
    <w:multiLevelType w:val="multilevel"/>
    <w:tmpl w:val="FD568A9C"/>
    <w:lvl w:ilvl="0">
      <w:numFmt w:val="bullet"/>
      <w:lvlText w:val=""/>
      <w:lvlJc w:val="left"/>
      <w:pPr>
        <w:ind w:left="766" w:hanging="360"/>
      </w:pPr>
      <w:rPr>
        <w:rFonts w:ascii="Symbol" w:hAnsi="Symbol"/>
      </w:rPr>
    </w:lvl>
    <w:lvl w:ilvl="1">
      <w:numFmt w:val="bullet"/>
      <w:lvlText w:val="o"/>
      <w:lvlJc w:val="left"/>
      <w:pPr>
        <w:ind w:left="1486" w:hanging="360"/>
      </w:pPr>
      <w:rPr>
        <w:rFonts w:ascii="Courier New" w:hAnsi="Courier New" w:cs="Courier New"/>
      </w:rPr>
    </w:lvl>
    <w:lvl w:ilvl="2">
      <w:numFmt w:val="bullet"/>
      <w:lvlText w:val=""/>
      <w:lvlJc w:val="left"/>
      <w:pPr>
        <w:ind w:left="2206" w:hanging="360"/>
      </w:pPr>
      <w:rPr>
        <w:rFonts w:ascii="Wingdings" w:hAnsi="Wingdings"/>
      </w:rPr>
    </w:lvl>
    <w:lvl w:ilvl="3">
      <w:numFmt w:val="bullet"/>
      <w:lvlText w:val=""/>
      <w:lvlJc w:val="left"/>
      <w:pPr>
        <w:ind w:left="2926" w:hanging="360"/>
      </w:pPr>
      <w:rPr>
        <w:rFonts w:ascii="Symbol" w:hAnsi="Symbol"/>
      </w:rPr>
    </w:lvl>
    <w:lvl w:ilvl="4">
      <w:numFmt w:val="bullet"/>
      <w:lvlText w:val="o"/>
      <w:lvlJc w:val="left"/>
      <w:pPr>
        <w:ind w:left="3646" w:hanging="360"/>
      </w:pPr>
      <w:rPr>
        <w:rFonts w:ascii="Courier New" w:hAnsi="Courier New" w:cs="Courier New"/>
      </w:rPr>
    </w:lvl>
    <w:lvl w:ilvl="5">
      <w:numFmt w:val="bullet"/>
      <w:lvlText w:val=""/>
      <w:lvlJc w:val="left"/>
      <w:pPr>
        <w:ind w:left="4366" w:hanging="360"/>
      </w:pPr>
      <w:rPr>
        <w:rFonts w:ascii="Wingdings" w:hAnsi="Wingdings"/>
      </w:rPr>
    </w:lvl>
    <w:lvl w:ilvl="6">
      <w:numFmt w:val="bullet"/>
      <w:lvlText w:val=""/>
      <w:lvlJc w:val="left"/>
      <w:pPr>
        <w:ind w:left="5086" w:hanging="360"/>
      </w:pPr>
      <w:rPr>
        <w:rFonts w:ascii="Symbol" w:hAnsi="Symbol"/>
      </w:rPr>
    </w:lvl>
    <w:lvl w:ilvl="7">
      <w:numFmt w:val="bullet"/>
      <w:lvlText w:val="o"/>
      <w:lvlJc w:val="left"/>
      <w:pPr>
        <w:ind w:left="5806" w:hanging="360"/>
      </w:pPr>
      <w:rPr>
        <w:rFonts w:ascii="Courier New" w:hAnsi="Courier New" w:cs="Courier New"/>
      </w:rPr>
    </w:lvl>
    <w:lvl w:ilvl="8">
      <w:numFmt w:val="bullet"/>
      <w:lvlText w:val=""/>
      <w:lvlJc w:val="left"/>
      <w:pPr>
        <w:ind w:left="6526" w:hanging="360"/>
      </w:pPr>
      <w:rPr>
        <w:rFonts w:ascii="Wingdings" w:hAnsi="Wingdings"/>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187"/>
    <w:rsid w:val="002433A7"/>
    <w:rsid w:val="003E3319"/>
    <w:rsid w:val="006A3B8D"/>
    <w:rsid w:val="0090287B"/>
    <w:rsid w:val="00A633AC"/>
    <w:rsid w:val="00E50821"/>
    <w:rsid w:val="00FF41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E7BCD"/>
  <w15:chartTrackingRefBased/>
  <w15:docId w15:val="{F75F5E31-64B8-4C88-9A48-613D3AC7A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FF4187"/>
    <w:pPr>
      <w:suppressAutoHyphens/>
      <w:autoSpaceDN w:val="0"/>
      <w:spacing w:line="244" w:lineRule="auto"/>
    </w:pPr>
    <w:rPr>
      <w:rFonts w:ascii="Calibri" w:eastAsia="Calibri" w:hAnsi="Calibri" w:cs="Times New Roman"/>
      <w:kern w:val="0"/>
      <w14:ligatures w14:val="none"/>
    </w:rPr>
  </w:style>
  <w:style w:type="paragraph" w:styleId="Titolo1">
    <w:name w:val="heading 1"/>
    <w:basedOn w:val="Normale"/>
    <w:next w:val="Normale"/>
    <w:link w:val="Titolo1Carattere"/>
    <w:uiPriority w:val="9"/>
    <w:qFormat/>
    <w:rsid w:val="00FF41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FF41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FF4187"/>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F4187"/>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F4187"/>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FF418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F418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F418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F418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F4187"/>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FF4187"/>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FF4187"/>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FF4187"/>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FF4187"/>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FF418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F418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F418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F4187"/>
    <w:rPr>
      <w:rFonts w:eastAsiaTheme="majorEastAsia" w:cstheme="majorBidi"/>
      <w:color w:val="272727" w:themeColor="text1" w:themeTint="D8"/>
    </w:rPr>
  </w:style>
  <w:style w:type="paragraph" w:styleId="Titolo">
    <w:name w:val="Title"/>
    <w:basedOn w:val="Normale"/>
    <w:next w:val="Normale"/>
    <w:link w:val="TitoloCarattere"/>
    <w:uiPriority w:val="10"/>
    <w:qFormat/>
    <w:rsid w:val="00FF41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F418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F418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F418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F418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F4187"/>
    <w:rPr>
      <w:i/>
      <w:iCs/>
      <w:color w:val="404040" w:themeColor="text1" w:themeTint="BF"/>
    </w:rPr>
  </w:style>
  <w:style w:type="paragraph" w:styleId="Paragrafoelenco">
    <w:name w:val="List Paragraph"/>
    <w:basedOn w:val="Normale"/>
    <w:qFormat/>
    <w:rsid w:val="00FF4187"/>
    <w:pPr>
      <w:ind w:left="720"/>
      <w:contextualSpacing/>
    </w:pPr>
  </w:style>
  <w:style w:type="character" w:styleId="Enfasiintensa">
    <w:name w:val="Intense Emphasis"/>
    <w:basedOn w:val="Carpredefinitoparagrafo"/>
    <w:uiPriority w:val="21"/>
    <w:qFormat/>
    <w:rsid w:val="00FF4187"/>
    <w:rPr>
      <w:i/>
      <w:iCs/>
      <w:color w:val="0F4761" w:themeColor="accent1" w:themeShade="BF"/>
    </w:rPr>
  </w:style>
  <w:style w:type="paragraph" w:styleId="Citazioneintensa">
    <w:name w:val="Intense Quote"/>
    <w:basedOn w:val="Normale"/>
    <w:next w:val="Normale"/>
    <w:link w:val="CitazioneintensaCarattere"/>
    <w:uiPriority w:val="30"/>
    <w:qFormat/>
    <w:rsid w:val="00FF41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F4187"/>
    <w:rPr>
      <w:i/>
      <w:iCs/>
      <w:color w:val="0F4761" w:themeColor="accent1" w:themeShade="BF"/>
    </w:rPr>
  </w:style>
  <w:style w:type="character" w:styleId="Riferimentointenso">
    <w:name w:val="Intense Reference"/>
    <w:basedOn w:val="Carpredefinitoparagrafo"/>
    <w:uiPriority w:val="32"/>
    <w:qFormat/>
    <w:rsid w:val="00FF4187"/>
    <w:rPr>
      <w:b/>
      <w:bCs/>
      <w:smallCaps/>
      <w:color w:val="0F4761" w:themeColor="accent1" w:themeShade="BF"/>
      <w:spacing w:val="5"/>
    </w:rPr>
  </w:style>
  <w:style w:type="paragraph" w:styleId="Intestazione">
    <w:name w:val="header"/>
    <w:basedOn w:val="Normale"/>
    <w:link w:val="IntestazioneCarattere"/>
    <w:rsid w:val="00FF418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FF4187"/>
    <w:rPr>
      <w:rFonts w:ascii="Calibri" w:eastAsia="Calibri" w:hAnsi="Calibri" w:cs="Times New Roman"/>
      <w:kern w:val="0"/>
      <w14:ligatures w14:val="none"/>
    </w:rPr>
  </w:style>
  <w:style w:type="table" w:styleId="Grigliatabella">
    <w:name w:val="Table Grid"/>
    <w:basedOn w:val="Tabellanormale"/>
    <w:uiPriority w:val="39"/>
    <w:rsid w:val="00FF4187"/>
    <w:pPr>
      <w:spacing w:after="0" w:line="240" w:lineRule="auto"/>
    </w:pPr>
    <w:rPr>
      <w:rFonts w:ascii="Calibri" w:eastAsia="Calibri" w:hAnsi="Calibri"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FF418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F4187"/>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860</Words>
  <Characters>4906</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Ministero della Transizione Ecologica</Company>
  <LinksUpToDate>false</LinksUpToDate>
  <CharactersWithSpaces>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Ferruccio Marco Giuseppe</dc:creator>
  <cp:keywords/>
  <dc:description/>
  <cp:lastModifiedBy>Iannilli Giovanna</cp:lastModifiedBy>
  <cp:revision>2</cp:revision>
  <dcterms:created xsi:type="dcterms:W3CDTF">2024-01-18T13:41:00Z</dcterms:created>
  <dcterms:modified xsi:type="dcterms:W3CDTF">2024-01-18T13:41:00Z</dcterms:modified>
</cp:coreProperties>
</file>